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91CDC" w14:textId="77777777" w:rsidR="00EA0590" w:rsidRPr="000876B1" w:rsidRDefault="001C0E9C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>
        <w:rPr>
          <w:rFonts w:eastAsia="TimesNewRomanPS-BoldMT"/>
          <w:b/>
          <w:bCs/>
          <w:sz w:val="20"/>
          <w:szCs w:val="20"/>
          <w:lang w:val="en-US"/>
        </w:rPr>
        <w:t xml:space="preserve">                               </w:t>
      </w:r>
      <w:r w:rsidR="00EA0590"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42F4FD16" w14:textId="77777777" w:rsidR="00EA0590" w:rsidRPr="009801D1" w:rsidRDefault="001C0E9C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sz w:val="20"/>
          <w:szCs w:val="20"/>
          <w:lang w:val="sr-Cyrl-CS"/>
        </w:rPr>
      </w:pPr>
      <w:r>
        <w:rPr>
          <w:rFonts w:eastAsia="TimesNewRomanPS-BoldMT"/>
          <w:b/>
          <w:bCs/>
          <w:color w:val="999999"/>
          <w:sz w:val="20"/>
          <w:szCs w:val="20"/>
          <w:lang w:val="en-US"/>
        </w:rPr>
        <w:t xml:space="preserve">                               </w:t>
      </w:r>
      <w:r w:rsidR="009801D1" w:rsidRPr="009801D1">
        <w:rPr>
          <w:rFonts w:eastAsia="TimesNewRomanPS-BoldMT"/>
          <w:b/>
          <w:bCs/>
          <w:sz w:val="20"/>
          <w:szCs w:val="20"/>
          <w:lang w:val="sr-Cyrl-CS"/>
        </w:rPr>
        <w:t>ФИЛОЗОФСКИ ФАКУЛТЕТ</w:t>
      </w:r>
    </w:p>
    <w:p w14:paraId="4B9E14AD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540"/>
        <w:gridCol w:w="521"/>
      </w:tblGrid>
      <w:tr w:rsidR="00EA0590" w:rsidRPr="0082465B" w14:paraId="3677BC60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0A8C08F8" w14:textId="77777777" w:rsidR="00EA0590" w:rsidRPr="0082465B" w:rsidRDefault="00EA0590" w:rsidP="003C72C8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3940B696" w14:textId="77777777" w:rsidR="00EA0590" w:rsidRPr="0082465B" w:rsidRDefault="00EA0590" w:rsidP="003C72C8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02A95D95" w14:textId="77777777" w:rsidR="00EA0590" w:rsidRPr="0082465B" w:rsidRDefault="00EA0590" w:rsidP="003C72C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6B4B2E18" w14:textId="77777777" w:rsidTr="003C72C8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2A827EE7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76C1D11E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3E34482E" w14:textId="77777777" w:rsidR="00EA0590" w:rsidRPr="0082465B" w:rsidRDefault="00EA0590" w:rsidP="003C72C8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170A4A5E" w14:textId="77777777" w:rsidTr="003C72C8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48065E3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4CD15DDA" w14:textId="77777777" w:rsidR="00EA0590" w:rsidRPr="009801D1" w:rsidRDefault="00F9690F" w:rsidP="003C72C8">
            <w:r>
              <w:rPr>
                <w:lang w:val="ru-RU"/>
              </w:rPr>
              <w:t>Јањић Нинослав Милан</w:t>
            </w:r>
          </w:p>
        </w:tc>
      </w:tr>
      <w:tr w:rsidR="00EA0590" w:rsidRPr="0082465B" w14:paraId="72276FD7" w14:textId="77777777" w:rsidTr="003C72C8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0D3A748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52C5324C" w14:textId="77777777" w:rsidR="00EA0590" w:rsidRPr="0082465B" w:rsidRDefault="00F9690F" w:rsidP="003C72C8">
            <w:pPr>
              <w:rPr>
                <w:lang w:val="ru-RU"/>
              </w:rPr>
            </w:pPr>
            <w:r>
              <w:rPr>
                <w:lang w:val="ru-RU"/>
              </w:rPr>
              <w:t>30. 6. 1993, Врање</w:t>
            </w:r>
          </w:p>
        </w:tc>
      </w:tr>
      <w:tr w:rsidR="00EA0590" w:rsidRPr="0082465B" w14:paraId="3C77CD36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DFA756D" w14:textId="77777777" w:rsidR="00EA0590" w:rsidRPr="0082465B" w:rsidRDefault="00EA0590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1369E58B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B0858C6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6A427AB2" w14:textId="77777777" w:rsidR="00EA0590" w:rsidRPr="0082465B" w:rsidRDefault="00F9690F" w:rsidP="003C72C8">
            <w:pPr>
              <w:rPr>
                <w:lang w:val="ru-RU"/>
              </w:rPr>
            </w:pPr>
            <w:r>
              <w:t>У</w:t>
            </w:r>
            <w:r w:rsidRPr="00BC300C">
              <w:t xml:space="preserve">ниверзитет </w:t>
            </w:r>
            <w:r w:rsidRPr="00BC300C">
              <w:rPr>
                <w:lang w:val="ru-RU"/>
              </w:rPr>
              <w:t>у Нишу</w:t>
            </w:r>
          </w:p>
        </w:tc>
      </w:tr>
      <w:tr w:rsidR="00EA0590" w:rsidRPr="0082465B" w14:paraId="2494C167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097C808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39E1C023" w14:textId="77777777" w:rsidR="00EA0590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003197B9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9CC5937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2F879A27" w14:textId="77777777" w:rsidR="00EA0590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Француски језик и књижевност</w:t>
            </w:r>
          </w:p>
        </w:tc>
      </w:tr>
      <w:tr w:rsidR="00EA0590" w:rsidRPr="0082465B" w14:paraId="4809ACC3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996479D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6545F660" w14:textId="77777777" w:rsidR="00EA0590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Дипломирани филолог</w:t>
            </w:r>
          </w:p>
        </w:tc>
      </w:tr>
      <w:tr w:rsidR="00EA0590" w:rsidRPr="0082465B" w14:paraId="7924C84E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63594F9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40A0F005" w14:textId="77777777" w:rsidR="00EA0590" w:rsidRPr="00053A54" w:rsidRDefault="00F9690F" w:rsidP="003C72C8">
            <w:pPr>
              <w:rPr>
                <w:lang w:val="en-US"/>
              </w:rPr>
            </w:pPr>
            <w:r w:rsidRPr="00BC300C">
              <w:rPr>
                <w:lang w:val="ru-RU"/>
              </w:rPr>
              <w:t>2012</w:t>
            </w:r>
            <w:r w:rsidR="00053A54">
              <w:rPr>
                <w:lang w:val="en-US"/>
              </w:rPr>
              <w:t>.</w:t>
            </w:r>
          </w:p>
        </w:tc>
      </w:tr>
      <w:tr w:rsidR="00EA0590" w:rsidRPr="0082465B" w14:paraId="4B8AC83B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3254609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17FC77C0" w14:textId="77777777" w:rsidR="00EA0590" w:rsidRPr="00053A54" w:rsidRDefault="00F9690F" w:rsidP="003C72C8">
            <w:pPr>
              <w:rPr>
                <w:lang w:val="en-US"/>
              </w:rPr>
            </w:pPr>
            <w:r>
              <w:rPr>
                <w:lang w:val="ru-RU"/>
              </w:rPr>
              <w:t>2016</w:t>
            </w:r>
            <w:r w:rsidR="00053A54">
              <w:rPr>
                <w:lang w:val="en-US"/>
              </w:rPr>
              <w:t>.</w:t>
            </w:r>
          </w:p>
        </w:tc>
      </w:tr>
      <w:tr w:rsidR="00F9690F" w:rsidRPr="0082465B" w14:paraId="6115B6DF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6306437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29815139" w14:textId="77777777" w:rsidR="00F9690F" w:rsidRPr="00BC300C" w:rsidRDefault="00F9690F" w:rsidP="003C72C8">
            <w:pPr>
              <w:rPr>
                <w:lang w:val="ru-RU"/>
              </w:rPr>
            </w:pPr>
            <w:r>
              <w:rPr>
                <w:lang w:val="ru-RU"/>
              </w:rPr>
              <w:t>8,</w:t>
            </w:r>
            <w:r w:rsidRPr="00BC300C">
              <w:rPr>
                <w:lang w:val="ru-RU"/>
              </w:rPr>
              <w:t>24</w:t>
            </w:r>
            <w:r>
              <w:rPr>
                <w:lang w:val="ru-RU"/>
              </w:rPr>
              <w:t xml:space="preserve"> (осам, 24/100)</w:t>
            </w:r>
          </w:p>
        </w:tc>
      </w:tr>
      <w:tr w:rsidR="00F9690F" w:rsidRPr="0082465B" w14:paraId="65332EB8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19156793" w14:textId="77777777" w:rsidR="00F9690F" w:rsidRPr="0082465B" w:rsidRDefault="00F9690F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F9690F" w:rsidRPr="0082465B" w14:paraId="0F64B900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7942B26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0A4836A3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Универзитет у Нишу</w:t>
            </w:r>
          </w:p>
        </w:tc>
      </w:tr>
      <w:tr w:rsidR="00F9690F" w:rsidRPr="0082465B" w14:paraId="555A6DA5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619E7CE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4ADE8328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Филозофски факултет</w:t>
            </w:r>
          </w:p>
        </w:tc>
      </w:tr>
      <w:tr w:rsidR="00F9690F" w:rsidRPr="0082465B" w14:paraId="1B656BCB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92D4429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289C9DFB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Француски језик и књижевност</w:t>
            </w:r>
          </w:p>
        </w:tc>
      </w:tr>
      <w:tr w:rsidR="00F9690F" w:rsidRPr="0082465B" w14:paraId="7DA2D4F8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CE51AC6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1C40D11C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Мастер филолог</w:t>
            </w:r>
          </w:p>
        </w:tc>
      </w:tr>
      <w:tr w:rsidR="00F9690F" w:rsidRPr="0082465B" w14:paraId="4BFF9F13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AD117F7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729151E4" w14:textId="77777777" w:rsidR="00F9690F" w:rsidRPr="00053A54" w:rsidRDefault="00F9690F" w:rsidP="003C72C8">
            <w:pPr>
              <w:rPr>
                <w:lang w:val="en-US"/>
              </w:rPr>
            </w:pPr>
            <w:r w:rsidRPr="00BC300C">
              <w:rPr>
                <w:lang w:val="ru-RU"/>
              </w:rPr>
              <w:t>2016</w:t>
            </w:r>
            <w:r w:rsidR="00053A54">
              <w:rPr>
                <w:lang w:val="en-US"/>
              </w:rPr>
              <w:t>.</w:t>
            </w:r>
          </w:p>
        </w:tc>
      </w:tr>
      <w:tr w:rsidR="00F9690F" w:rsidRPr="0082465B" w14:paraId="53D550B5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8867080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489694BF" w14:textId="77777777" w:rsidR="00F9690F" w:rsidRPr="00053A54" w:rsidRDefault="00F9690F" w:rsidP="003C72C8">
            <w:pPr>
              <w:rPr>
                <w:lang w:val="en-US"/>
              </w:rPr>
            </w:pPr>
            <w:r w:rsidRPr="00BC300C">
              <w:rPr>
                <w:lang w:val="ru-RU"/>
              </w:rPr>
              <w:t>2017</w:t>
            </w:r>
            <w:r w:rsidR="00053A54">
              <w:rPr>
                <w:lang w:val="en-US"/>
              </w:rPr>
              <w:t>.</w:t>
            </w:r>
          </w:p>
        </w:tc>
      </w:tr>
      <w:tr w:rsidR="00F9690F" w:rsidRPr="0082465B" w14:paraId="197C3274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9860A1E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63EFCFC" w14:textId="77777777" w:rsidR="00F9690F" w:rsidRPr="0082465B" w:rsidRDefault="00F9690F" w:rsidP="003C72C8">
            <w:pPr>
              <w:rPr>
                <w:lang w:val="ru-RU"/>
              </w:rPr>
            </w:pPr>
            <w:r>
              <w:rPr>
                <w:lang w:val="ru-RU"/>
              </w:rPr>
              <w:t>9,86 (девет, 86/100)</w:t>
            </w:r>
          </w:p>
        </w:tc>
      </w:tr>
      <w:tr w:rsidR="00F9690F" w:rsidRPr="0082465B" w14:paraId="259A4B12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CA85CFD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72042F5F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Француска књижевност и култура</w:t>
            </w:r>
          </w:p>
        </w:tc>
      </w:tr>
      <w:tr w:rsidR="00F9690F" w:rsidRPr="0082465B" w14:paraId="0A17BF7F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B3EB93F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20557936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i/>
                <w:lang w:val="ru-RU"/>
              </w:rPr>
              <w:t>Грчки мит код Расина</w:t>
            </w:r>
          </w:p>
        </w:tc>
      </w:tr>
      <w:tr w:rsidR="00F9690F" w:rsidRPr="0082465B" w14:paraId="2300C898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4C1A2B6D" w14:textId="77777777" w:rsidR="00F9690F" w:rsidRPr="0082465B" w:rsidRDefault="00F9690F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F9690F" w:rsidRPr="0082465B" w14:paraId="0B88540D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01C3A72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05FB0F58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Универзитет у Нишу</w:t>
            </w:r>
          </w:p>
        </w:tc>
      </w:tr>
      <w:tr w:rsidR="00F9690F" w:rsidRPr="0082465B" w14:paraId="41CBF557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80D293A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7BF359E1" w14:textId="77777777" w:rsidR="00F9690F" w:rsidRPr="0082465B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Филозофски факултет</w:t>
            </w:r>
          </w:p>
        </w:tc>
      </w:tr>
      <w:tr w:rsidR="00F9690F" w:rsidRPr="0082465B" w14:paraId="7102146F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8FD3F6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0C35789" w14:textId="77777777" w:rsidR="00F9690F" w:rsidRPr="00F9690F" w:rsidRDefault="00F9690F" w:rsidP="003C72C8">
            <w:r>
              <w:t>Филологија</w:t>
            </w:r>
          </w:p>
        </w:tc>
      </w:tr>
      <w:tr w:rsidR="00F9690F" w:rsidRPr="0082465B" w14:paraId="35F0AB34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7D6D537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07BE9898" w14:textId="77777777" w:rsidR="00F9690F" w:rsidRPr="00053A54" w:rsidRDefault="00F9690F" w:rsidP="003C72C8">
            <w:pPr>
              <w:rPr>
                <w:lang w:val="en-US"/>
              </w:rPr>
            </w:pPr>
            <w:r>
              <w:rPr>
                <w:lang w:val="ru-RU"/>
              </w:rPr>
              <w:t>2018</w:t>
            </w:r>
            <w:r w:rsidR="00053A54">
              <w:rPr>
                <w:lang w:val="en-US"/>
              </w:rPr>
              <w:t>.</w:t>
            </w:r>
          </w:p>
        </w:tc>
      </w:tr>
      <w:tr w:rsidR="00F9690F" w:rsidRPr="0082465B" w14:paraId="466274E0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CE4B544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1D0AE791" w14:textId="77777777" w:rsidR="00F9690F" w:rsidRPr="0082465B" w:rsidRDefault="00F9690F" w:rsidP="003C72C8">
            <w:pPr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</w:tr>
      <w:tr w:rsidR="00F9690F" w:rsidRPr="0082465B" w14:paraId="1F305C63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A2A8EFD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5DBC630A" w14:textId="77777777" w:rsidR="00F9690F" w:rsidRPr="0082465B" w:rsidRDefault="00F9690F" w:rsidP="003C72C8">
            <w:pPr>
              <w:rPr>
                <w:lang w:val="ru-RU"/>
              </w:rPr>
            </w:pPr>
            <w:r>
              <w:rPr>
                <w:lang w:val="ru-RU"/>
              </w:rPr>
              <w:t>10,00 (десет, 100/100)</w:t>
            </w:r>
          </w:p>
        </w:tc>
      </w:tr>
      <w:tr w:rsidR="00F9690F" w:rsidRPr="0082465B" w14:paraId="632FD57E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1D550F12" w14:textId="77777777" w:rsidR="00F9690F" w:rsidRPr="0082465B" w:rsidRDefault="00F9690F" w:rsidP="003C72C8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F9690F" w:rsidRPr="0082465B" w14:paraId="25AD8C9F" w14:textId="77777777" w:rsidTr="003C72C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D1E2634" w14:textId="77777777" w:rsidR="00F9690F" w:rsidRPr="0082465B" w:rsidRDefault="00F9690F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48AC7427" w14:textId="77777777" w:rsidR="00F9690F" w:rsidRPr="0082465B" w:rsidRDefault="00F9690F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1AF0DF27" w14:textId="77777777" w:rsidR="00F9690F" w:rsidRPr="0082465B" w:rsidRDefault="00F9690F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F9690F" w:rsidRPr="0082465B" w14:paraId="23936F72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DF8851C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12173261" w14:textId="77777777" w:rsidR="00F9690F" w:rsidRPr="0082465B" w:rsidRDefault="00F9690F" w:rsidP="003C72C8">
            <w:pPr>
              <w:rPr>
                <w:lang w:val="ru-RU"/>
              </w:rPr>
            </w:pPr>
            <w:r w:rsidRPr="00A94CAA">
              <w:t xml:space="preserve">Вучељ, Нермин и </w:t>
            </w:r>
            <w:r w:rsidRPr="009801D1">
              <w:rPr>
                <w:u w:val="single"/>
              </w:rPr>
              <w:t>Милан Јањић</w:t>
            </w:r>
            <w:r w:rsidRPr="00A94CAA">
              <w:t>. „Дидроова ненаписана дела</w:t>
            </w:r>
            <w:r>
              <w:t>”</w:t>
            </w:r>
            <w:r w:rsidRPr="00A94CAA">
              <w:t xml:space="preserve">. </w:t>
            </w:r>
            <w:r w:rsidRPr="00A94CAA">
              <w:rPr>
                <w:i/>
              </w:rPr>
              <w:t>Језици</w:t>
            </w:r>
            <w:r w:rsidRPr="00A94CAA">
              <w:t xml:space="preserve"> </w:t>
            </w:r>
            <w:r w:rsidRPr="00A94CAA">
              <w:rPr>
                <w:i/>
              </w:rPr>
              <w:t>и културе у времену и простору</w:t>
            </w:r>
            <w:r w:rsidRPr="00A94CAA">
              <w:t>, VIII/</w:t>
            </w:r>
            <w:r>
              <w:t>2</w:t>
            </w:r>
            <w:r w:rsidRPr="006A4AB2">
              <w:t>, тематски зборник радова</w:t>
            </w:r>
            <w:r w:rsidRPr="00A94CAA">
              <w:t>. Нови Сад: Филозофски факултет/Педагошко друштво Војводине, 2019, стр. 51–62. UDK 821.133.1.09 Diderot D. ISBN 978-86-6065-543-3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1EF4775A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</w:t>
            </w:r>
            <w:r w:rsidRPr="00BC300C">
              <w:rPr>
                <w:b/>
              </w:rPr>
              <w:t>14</w:t>
            </w:r>
          </w:p>
        </w:tc>
      </w:tr>
      <w:tr w:rsidR="00F9690F" w:rsidRPr="0082465B" w14:paraId="111D75BB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A272148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7A34C22F" w14:textId="77777777" w:rsidR="00F9690F" w:rsidRPr="00D947A5" w:rsidRDefault="00F118A0" w:rsidP="00053A54">
            <w:pPr>
              <w:rPr>
                <w:sz w:val="20"/>
                <w:szCs w:val="20"/>
              </w:rPr>
            </w:pPr>
            <w:r w:rsidRPr="005B478E">
              <w:rPr>
                <w:sz w:val="20"/>
                <w:szCs w:val="20"/>
              </w:rPr>
              <w:t xml:space="preserve">Овај коауторски рад нуди систематичан попис и аналитички преглед свих сачуваних скица за Дидроова замишљена књижевна дела која никад нису ни написана, те су све идеје у том смислу и остале само на нивоу скица. Рад се реферише на кључне иностране дидролошке студије. Како етичка питања јесу у бити </w:t>
            </w:r>
            <w:r w:rsidRPr="005B478E">
              <w:rPr>
                <w:sz w:val="20"/>
                <w:szCs w:val="20"/>
              </w:rPr>
              <w:lastRenderedPageBreak/>
              <w:t xml:space="preserve">сижеа замишљених а ненаписаних књижевних дела, на овај рад може да се реферише и будућа </w:t>
            </w:r>
            <w:r>
              <w:rPr>
                <w:sz w:val="20"/>
                <w:szCs w:val="20"/>
              </w:rPr>
              <w:t>докторска дисертација кандидата</w:t>
            </w:r>
            <w:r w:rsidR="00D947A5" w:rsidRPr="00D947A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50A8F04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491724D1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23A4247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00D723E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1EE45CD6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9CA4CF2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20F6A0CE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083BDDA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0E1F08AA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7EC50DA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5FE67663" w14:textId="77777777" w:rsidR="00F9690F" w:rsidRPr="00E926FD" w:rsidRDefault="00F9690F" w:rsidP="003C72C8">
            <w:pPr>
              <w:rPr>
                <w:lang w:val="ru-RU"/>
              </w:rPr>
            </w:pPr>
            <w:r w:rsidRPr="00395978">
              <w:t xml:space="preserve">Јањић, Милан. </w:t>
            </w:r>
            <w:r>
              <w:t>„</w:t>
            </w:r>
            <w:r w:rsidRPr="00395978">
              <w:t>Трагички простор код Расина</w:t>
            </w:r>
            <w:r>
              <w:t>”</w:t>
            </w:r>
            <w:r w:rsidRPr="00395978">
              <w:t>.</w:t>
            </w:r>
            <w:r>
              <w:t xml:space="preserve"> </w:t>
            </w:r>
            <w:r w:rsidRPr="005D5476">
              <w:rPr>
                <w:i/>
              </w:rPr>
              <w:t xml:space="preserve">Jezik, književnost, </w:t>
            </w:r>
            <w:r w:rsidRPr="00F9690F">
              <w:rPr>
                <w:i/>
              </w:rPr>
              <w:t>prostor</w:t>
            </w:r>
            <w:r>
              <w:t>. Niš: Filozofski fakultet, 2018</w:t>
            </w:r>
            <w:r w:rsidRPr="005D5476">
              <w:t>, str.</w:t>
            </w:r>
            <w:r w:rsidRPr="00F00A8F">
              <w:t xml:space="preserve"> 409–421. </w:t>
            </w:r>
            <w:r>
              <w:t>УДК 821.133.1.09-2 Расин Ж.</w:t>
            </w:r>
            <w:r w:rsidRPr="005D5476">
              <w:t xml:space="preserve"> ISBN 978-86-7379-473-0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2758A0D6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</w:t>
            </w:r>
            <w:r w:rsidRPr="00BC300C">
              <w:rPr>
                <w:b/>
              </w:rPr>
              <w:t>14</w:t>
            </w:r>
          </w:p>
        </w:tc>
      </w:tr>
      <w:tr w:rsidR="00F9690F" w:rsidRPr="0082465B" w14:paraId="57F4E6F3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79C09D8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18328421" w14:textId="77777777" w:rsidR="00F9690F" w:rsidRPr="005445B4" w:rsidRDefault="00F118A0" w:rsidP="00D947A5">
            <w:pPr>
              <w:rPr>
                <w:i/>
              </w:rPr>
            </w:pPr>
            <w:r w:rsidRPr="005B478E">
              <w:rPr>
                <w:sz w:val="20"/>
                <w:szCs w:val="20"/>
              </w:rPr>
              <w:t xml:space="preserve">Кроз критичко-аналитичка сучељавања у раду се анализирају физички и ментални простор трагедије у три Расинова комада са сижеом из грчког мита – </w:t>
            </w:r>
            <w:r w:rsidRPr="005B478E">
              <w:rPr>
                <w:i/>
                <w:sz w:val="20"/>
                <w:szCs w:val="20"/>
              </w:rPr>
              <w:t>Андромаха</w:t>
            </w:r>
            <w:r w:rsidRPr="005B478E">
              <w:rPr>
                <w:sz w:val="20"/>
                <w:szCs w:val="20"/>
              </w:rPr>
              <w:t xml:space="preserve">, </w:t>
            </w:r>
            <w:r w:rsidRPr="005B478E">
              <w:rPr>
                <w:i/>
                <w:sz w:val="20"/>
                <w:szCs w:val="20"/>
              </w:rPr>
              <w:t>Федра</w:t>
            </w:r>
            <w:r w:rsidRPr="005B478E">
              <w:rPr>
                <w:sz w:val="20"/>
                <w:szCs w:val="20"/>
              </w:rPr>
              <w:t xml:space="preserve">, </w:t>
            </w:r>
            <w:r w:rsidRPr="005B478E">
              <w:rPr>
                <w:i/>
                <w:sz w:val="20"/>
                <w:szCs w:val="20"/>
              </w:rPr>
              <w:t>Ифигенија</w:t>
            </w:r>
            <w:r w:rsidRPr="005B478E">
              <w:rPr>
                <w:sz w:val="20"/>
                <w:szCs w:val="20"/>
              </w:rPr>
              <w:t>. Ово истраживање подједнако елаборира питање физичког простора трагедије и питање менталног простора трагедије. Будући да је расиновски трагички јунак ограничен физичким простором и у њему заробљен, а да је ментални простор јунакове трагике у непосредној вези с физичким простором и њиме је условљен, то је и једини излаз из физичког простора, као и из менталног простора трагике, само јунакова смрт – што је теза која се критичко-аналитички елаборира у овом раду</w:t>
            </w:r>
            <w:r w:rsidR="005445B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6503A59A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2CF31B84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94CE898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683F3C6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F2BC3A0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CFCC304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67D24DE3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02EAB7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1C9440FC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57350CD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33EF84A4" w14:textId="77777777" w:rsidR="00F9690F" w:rsidRPr="00E926FD" w:rsidRDefault="00F9690F" w:rsidP="003C72C8">
            <w:pPr>
              <w:rPr>
                <w:lang w:val="ru-RU"/>
              </w:rPr>
            </w:pPr>
            <w:r w:rsidRPr="005D5476">
              <w:t xml:space="preserve">Vučelj, Nermin i </w:t>
            </w:r>
            <w:r w:rsidRPr="003D777A">
              <w:rPr>
                <w:u w:val="single"/>
              </w:rPr>
              <w:t>Milan Janjić</w:t>
            </w:r>
            <w:r w:rsidRPr="005D5476">
              <w:t>. „Pitanje književne periodizac</w:t>
            </w:r>
            <w:r>
              <w:t>ije: primer francuskog 18. veka”</w:t>
            </w:r>
            <w:r w:rsidRPr="005D5476">
              <w:t xml:space="preserve">. </w:t>
            </w:r>
            <w:r w:rsidRPr="005D5476">
              <w:rPr>
                <w:i/>
              </w:rPr>
              <w:t>Jezik, književnost, vreme – Književna istraživanja</w:t>
            </w:r>
            <w:r w:rsidRPr="005D5476">
              <w:t>. Niš: Filozofski fakultet, 2017, str. 47–57. UDK 821.133.1.09“17“. ISBN 978-86-7379-445-7.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06C05BF4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</w:t>
            </w:r>
            <w:r w:rsidRPr="00BC300C">
              <w:rPr>
                <w:b/>
              </w:rPr>
              <w:t>14</w:t>
            </w:r>
          </w:p>
        </w:tc>
      </w:tr>
      <w:tr w:rsidR="00F9690F" w:rsidRPr="0082465B" w14:paraId="219484C4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E8DD6DD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2278DBE4" w14:textId="77777777" w:rsidR="00F9690F" w:rsidRPr="00D947A5" w:rsidRDefault="00D947A5" w:rsidP="005445B4">
            <w:pPr>
              <w:rPr>
                <w:i/>
              </w:rPr>
            </w:pPr>
            <w:r>
              <w:rPr>
                <w:sz w:val="20"/>
                <w:szCs w:val="20"/>
              </w:rPr>
              <w:t xml:space="preserve">Проблем књижевне периодизације и њене сврсисходности у проучавању и разумевању књижевности </w:t>
            </w:r>
            <w:r w:rsidR="00241F5A">
              <w:rPr>
                <w:sz w:val="20"/>
                <w:szCs w:val="20"/>
              </w:rPr>
              <w:t xml:space="preserve">у овом коауторском раду је разматран </w:t>
            </w:r>
            <w:r>
              <w:rPr>
                <w:sz w:val="20"/>
                <w:szCs w:val="20"/>
              </w:rPr>
              <w:t>у тео</w:t>
            </w:r>
            <w:r w:rsidR="005445B4">
              <w:rPr>
                <w:sz w:val="20"/>
                <w:szCs w:val="20"/>
              </w:rPr>
              <w:t>ријско-критичком сучељавању с Антоаном</w:t>
            </w:r>
            <w:r>
              <w:rPr>
                <w:sz w:val="20"/>
                <w:szCs w:val="20"/>
              </w:rPr>
              <w:t xml:space="preserve"> Компањоном и М</w:t>
            </w:r>
            <w:r w:rsidR="005445B4">
              <w:rPr>
                <w:sz w:val="20"/>
                <w:szCs w:val="20"/>
              </w:rPr>
              <w:t>иливојем</w:t>
            </w:r>
            <w:r>
              <w:rPr>
                <w:sz w:val="20"/>
                <w:szCs w:val="20"/>
              </w:rPr>
              <w:t xml:space="preserve"> Соларом и сагледан на примеру француског 18. века кроз теоријске поставке које су теоретичари и историчари књижевности понудили од краја 19. века, кроз 20. век, све до оних на почетку 21. века.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1987A32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6BA9B7B4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9B61A4F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3A1C3100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6690A0D8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577621F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FFC2F6E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68B46593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450D1D98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8F96588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42B8F709" w14:textId="77777777" w:rsidR="00F9690F" w:rsidRPr="00E926FD" w:rsidRDefault="00F9690F" w:rsidP="003C72C8">
            <w:pPr>
              <w:rPr>
                <w:lang w:val="ru-RU"/>
              </w:rPr>
            </w:pPr>
            <w:r w:rsidRPr="00BC300C">
              <w:rPr>
                <w:lang w:val="ru-RU"/>
              </w:rPr>
              <w:t>Јањић, Милан. „Во</w:t>
            </w:r>
            <w:r>
              <w:rPr>
                <w:lang w:val="ru-RU"/>
              </w:rPr>
              <w:t>лтер и Русо у Дидроовим писмима</w:t>
            </w:r>
            <w:r w:rsidRPr="00413C0C">
              <w:rPr>
                <w:lang w:val="ru-RU"/>
              </w:rPr>
              <w:t>”</w:t>
            </w:r>
            <w:r w:rsidRPr="00BC300C">
              <w:rPr>
                <w:lang w:val="ru-RU"/>
              </w:rPr>
              <w:t xml:space="preserve">. </w:t>
            </w:r>
            <w:r w:rsidRPr="00BC300C">
              <w:rPr>
                <w:i/>
                <w:lang w:val="ru-RU"/>
              </w:rPr>
              <w:t>Филолог</w:t>
            </w:r>
            <w:r w:rsidRPr="00BC300C">
              <w:rPr>
                <w:lang w:val="ru-RU"/>
              </w:rPr>
              <w:t xml:space="preserve">, број </w:t>
            </w:r>
            <w:r w:rsidRPr="00A94CAA">
              <w:t>XX</w:t>
            </w:r>
            <w:r>
              <w:t>I</w:t>
            </w:r>
            <w:r w:rsidRPr="00BC300C">
              <w:rPr>
                <w:lang w:val="ru-RU"/>
              </w:rPr>
              <w:t xml:space="preserve">. Бања Лука: Филолошки факултет, 2020, стр. 434‒452. </w:t>
            </w:r>
            <w:r w:rsidRPr="00A94CAA">
              <w:t>УДК</w:t>
            </w:r>
            <w:r>
              <w:t xml:space="preserve"> 821.133.1-6.09 DOI 10.21618/fil2021434j COBISS.RS-ID 129056769 </w:t>
            </w:r>
            <w:r w:rsidRPr="00A94CAA">
              <w:t>ISSN 1986-5864</w:t>
            </w:r>
            <w:r>
              <w:t xml:space="preserve"> </w:t>
            </w:r>
            <w:r w:rsidRPr="00A94CAA">
              <w:t>E-ISSN 2233-1158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4CE9EBEF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M51</w:t>
            </w:r>
          </w:p>
        </w:tc>
      </w:tr>
      <w:tr w:rsidR="00F9690F" w:rsidRPr="0082465B" w14:paraId="1C3C60A4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3352E08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4A33AC44" w14:textId="77777777" w:rsidR="00F9690F" w:rsidRPr="00D947A5" w:rsidRDefault="003732A3" w:rsidP="003C72C8">
            <w:pPr>
              <w:rPr>
                <w:i/>
              </w:rPr>
            </w:pPr>
            <w:r>
              <w:rPr>
                <w:sz w:val="20"/>
                <w:szCs w:val="20"/>
              </w:rPr>
              <w:t xml:space="preserve">У раду се анализирају теме које је Дидро елаборирао у својој преписци с Волтером и Русоом, те </w:t>
            </w:r>
            <w:r w:rsidR="005445B4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сами Волтер и Русо као Дидроове теме у кореспонденцији коју је овај француски просветитељ водио с другим  личностима.</w:t>
            </w:r>
            <w:r w:rsidR="00241F5A">
              <w:rPr>
                <w:sz w:val="20"/>
                <w:szCs w:val="20"/>
              </w:rPr>
              <w:t xml:space="preserve"> </w:t>
            </w:r>
            <w:r w:rsidR="005445B4">
              <w:rPr>
                <w:sz w:val="20"/>
                <w:szCs w:val="20"/>
              </w:rPr>
              <w:t>Рад се реферише и на оне Д</w:t>
            </w:r>
            <w:r w:rsidR="00F118A0">
              <w:rPr>
                <w:sz w:val="20"/>
                <w:szCs w:val="20"/>
              </w:rPr>
              <w:t>идроове списе у којима се помињ</w:t>
            </w:r>
            <w:r w:rsidR="005445B4">
              <w:rPr>
                <w:sz w:val="20"/>
                <w:szCs w:val="20"/>
              </w:rPr>
              <w:t xml:space="preserve">у Волтер и Русо, као и на одређена књижевна дела ове двојице, а како би се непосредније одредили професионални, колегијални и пријатељски односи између три философа епохе француског просветитељства. </w:t>
            </w:r>
            <w:r w:rsidR="00241F5A">
              <w:rPr>
                <w:sz w:val="20"/>
                <w:szCs w:val="20"/>
              </w:rPr>
              <w:t xml:space="preserve">Проблематика која се тиче етике у овом раду може бити у непосредној вези и с темом докторске дисертације коју ће кандидат радити.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B6491DB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13E73551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3544480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62D4C2EE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17471BE6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1E060E90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69697324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D731B33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511CC496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27F52A56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0365EAC8" w14:textId="77777777" w:rsidR="00F9690F" w:rsidRPr="003B67D2" w:rsidRDefault="00F9690F" w:rsidP="003C72C8">
            <w:pPr>
              <w:rPr>
                <w:lang w:val="ru-RU"/>
              </w:rPr>
            </w:pPr>
            <w:r w:rsidRPr="003B67D2">
              <w:rPr>
                <w:lang w:val="ru-RU"/>
              </w:rPr>
              <w:t xml:space="preserve">Јањић, Милан. „Грчки мит у Расиновој </w:t>
            </w:r>
            <w:r w:rsidRPr="003B67D2">
              <w:rPr>
                <w:i/>
                <w:lang w:val="ru-RU"/>
              </w:rPr>
              <w:t>Тебаиди</w:t>
            </w:r>
            <w:r w:rsidRPr="00413C0C">
              <w:rPr>
                <w:lang w:val="ru-RU"/>
              </w:rPr>
              <w:t>”</w:t>
            </w:r>
            <w:r w:rsidRPr="003B67D2">
              <w:rPr>
                <w:lang w:val="ru-RU"/>
              </w:rPr>
              <w:t xml:space="preserve">. </w:t>
            </w:r>
            <w:r w:rsidRPr="003B67D2">
              <w:rPr>
                <w:i/>
                <w:lang w:val="ru-RU"/>
              </w:rPr>
              <w:t>Филолог</w:t>
            </w:r>
            <w:r w:rsidRPr="003B67D2">
              <w:rPr>
                <w:lang w:val="ru-RU"/>
              </w:rPr>
              <w:t xml:space="preserve">, број </w:t>
            </w:r>
            <w:r w:rsidRPr="00A94CAA">
              <w:t>XX</w:t>
            </w:r>
            <w:r w:rsidRPr="003B67D2">
              <w:rPr>
                <w:lang w:val="ru-RU"/>
              </w:rPr>
              <w:t xml:space="preserve">. Бања Лука: Филолошки факултет, 2019, стр. 574–593. УДК 821.133.1-2.09 Расин Ж. </w:t>
            </w:r>
            <w:r w:rsidRPr="00A94CAA">
              <w:t>DOI</w:t>
            </w:r>
            <w:r w:rsidRPr="003B67D2">
              <w:rPr>
                <w:lang w:val="ru-RU"/>
              </w:rPr>
              <w:t xml:space="preserve"> 10.21618/</w:t>
            </w:r>
            <w:r w:rsidRPr="00A94CAA">
              <w:t>fl</w:t>
            </w:r>
            <w:r w:rsidRPr="003B67D2">
              <w:rPr>
                <w:lang w:val="ru-RU"/>
              </w:rPr>
              <w:t>1920574</w:t>
            </w:r>
            <w:r w:rsidRPr="00A94CAA">
              <w:t>j</w:t>
            </w:r>
            <w:r w:rsidRPr="003B67D2">
              <w:rPr>
                <w:lang w:val="ru-RU"/>
              </w:rPr>
              <w:t xml:space="preserve"> </w:t>
            </w:r>
            <w:r w:rsidRPr="00A94CAA">
              <w:t>COBISS</w:t>
            </w:r>
            <w:r w:rsidRPr="003B67D2">
              <w:rPr>
                <w:lang w:val="ru-RU"/>
              </w:rPr>
              <w:t>.</w:t>
            </w:r>
            <w:r w:rsidRPr="00A94CAA">
              <w:t>RS</w:t>
            </w:r>
            <w:r w:rsidRPr="003B67D2">
              <w:rPr>
                <w:lang w:val="ru-RU"/>
              </w:rPr>
              <w:t>-</w:t>
            </w:r>
            <w:r w:rsidRPr="00A94CAA">
              <w:t>ID</w:t>
            </w:r>
            <w:r w:rsidRPr="003B67D2">
              <w:rPr>
                <w:lang w:val="ru-RU"/>
              </w:rPr>
              <w:t xml:space="preserve"> 8602136 </w:t>
            </w:r>
            <w:r w:rsidRPr="00A94CAA">
              <w:t>ISSN</w:t>
            </w:r>
            <w:r w:rsidRPr="003B67D2">
              <w:rPr>
                <w:lang w:val="ru-RU"/>
              </w:rPr>
              <w:t xml:space="preserve"> 1986-5864 </w:t>
            </w:r>
            <w:r w:rsidRPr="00A94CAA">
              <w:t>E</w:t>
            </w:r>
            <w:r w:rsidRPr="003B67D2">
              <w:rPr>
                <w:lang w:val="ru-RU"/>
              </w:rPr>
              <w:t>-</w:t>
            </w:r>
            <w:r w:rsidRPr="00A94CAA">
              <w:t>ISSN</w:t>
            </w:r>
            <w:r w:rsidRPr="003B67D2">
              <w:rPr>
                <w:lang w:val="ru-RU"/>
              </w:rPr>
              <w:t xml:space="preserve"> 2233-1158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77EC9D58" w14:textId="77777777" w:rsidR="00F9690F" w:rsidRDefault="00F9690F" w:rsidP="003C72C8">
            <w:pPr>
              <w:rPr>
                <w:lang w:val="ru-RU"/>
              </w:rPr>
            </w:pPr>
          </w:p>
          <w:p w14:paraId="4B5D3CFE" w14:textId="77777777" w:rsidR="00F9690F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M51</w:t>
            </w:r>
          </w:p>
          <w:p w14:paraId="52F9B836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202C2B3C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7AE8795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5D9437D8" w14:textId="77777777" w:rsidR="00F9690F" w:rsidRPr="00980EF7" w:rsidRDefault="003732A3" w:rsidP="00241F5A">
            <w:pPr>
              <w:rPr>
                <w:i/>
              </w:rPr>
            </w:pPr>
            <w:r>
              <w:rPr>
                <w:sz w:val="20"/>
                <w:szCs w:val="20"/>
              </w:rPr>
              <w:t xml:space="preserve">У раду се анализира како је Расин употребио старогрчке митолошке и песничке изворе за своју прву трагедију </w:t>
            </w:r>
            <w:r w:rsidRPr="003732A3">
              <w:rPr>
                <w:i/>
                <w:sz w:val="20"/>
                <w:szCs w:val="20"/>
              </w:rPr>
              <w:t>Тебаида</w:t>
            </w:r>
            <w:r>
              <w:rPr>
                <w:sz w:val="20"/>
                <w:szCs w:val="20"/>
              </w:rPr>
              <w:t xml:space="preserve"> и критички сагледава како је </w:t>
            </w:r>
            <w:r w:rsidR="00241F5A">
              <w:rPr>
                <w:sz w:val="20"/>
                <w:szCs w:val="20"/>
              </w:rPr>
              <w:t>француски трагичар</w:t>
            </w:r>
            <w:r>
              <w:rPr>
                <w:sz w:val="20"/>
                <w:szCs w:val="20"/>
              </w:rPr>
              <w:t xml:space="preserve"> кроз поетички преображај тематски искористио претходнике који су </w:t>
            </w:r>
            <w:r w:rsidR="00241F5A">
              <w:rPr>
                <w:sz w:val="20"/>
                <w:szCs w:val="20"/>
              </w:rPr>
              <w:t xml:space="preserve">песнички </w:t>
            </w:r>
            <w:r>
              <w:rPr>
                <w:sz w:val="20"/>
                <w:szCs w:val="20"/>
              </w:rPr>
              <w:t xml:space="preserve">обрадили исти сиже. </w:t>
            </w:r>
            <w:r w:rsidR="00980EF7">
              <w:rPr>
                <w:sz w:val="20"/>
                <w:szCs w:val="20"/>
              </w:rPr>
              <w:t xml:space="preserve">Тако се у раду изводе паралеле између ликова и сижеа којима они припадају у грчком миту и у Еурипидовим </w:t>
            </w:r>
            <w:r w:rsidR="00980EF7" w:rsidRPr="00980EF7">
              <w:rPr>
                <w:i/>
                <w:sz w:val="20"/>
                <w:szCs w:val="20"/>
              </w:rPr>
              <w:t>Феничанкама</w:t>
            </w:r>
            <w:r w:rsidR="00980EF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A2F35B5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2C186AA4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9836567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20D5FAA2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BFCE700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036D626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12C23FE8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11A616D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1AD1B548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3FBFD977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9178" w:type="dxa"/>
            <w:gridSpan w:val="6"/>
            <w:vAlign w:val="center"/>
          </w:tcPr>
          <w:p w14:paraId="3E067370" w14:textId="77777777" w:rsidR="00F9690F" w:rsidRPr="00E926FD" w:rsidRDefault="00F9690F" w:rsidP="003C72C8">
            <w:pPr>
              <w:rPr>
                <w:lang w:val="ru-RU"/>
              </w:rPr>
            </w:pPr>
            <w:r w:rsidRPr="00195498">
              <w:rPr>
                <w:lang w:val="ru-RU"/>
              </w:rPr>
              <w:t>Јањић, Милан. „Д</w:t>
            </w:r>
            <w:r>
              <w:rPr>
                <w:lang w:val="ru-RU"/>
              </w:rPr>
              <w:t>идроова теорија грађанске драме</w:t>
            </w:r>
            <w:r>
              <w:t>”</w:t>
            </w:r>
            <w:r w:rsidRPr="00195498">
              <w:rPr>
                <w:lang w:val="ru-RU"/>
              </w:rPr>
              <w:t xml:space="preserve">. </w:t>
            </w:r>
            <w:r w:rsidRPr="00A94CAA">
              <w:rPr>
                <w:i/>
              </w:rPr>
              <w:t xml:space="preserve">Philologia </w:t>
            </w:r>
            <w:r w:rsidRPr="00A94CAA">
              <w:rPr>
                <w:i/>
                <w:lang w:val="en-GB"/>
              </w:rPr>
              <w:t>M</w:t>
            </w:r>
            <w:r w:rsidRPr="00A94CAA">
              <w:rPr>
                <w:i/>
              </w:rPr>
              <w:t>ediana</w:t>
            </w:r>
            <w:r w:rsidRPr="00A94CAA">
              <w:t xml:space="preserve">, година </w:t>
            </w:r>
            <w:r w:rsidRPr="00A94CAA">
              <w:rPr>
                <w:lang w:val="en-GB"/>
              </w:rPr>
              <w:t>XI</w:t>
            </w:r>
            <w:r w:rsidRPr="00A94CAA">
              <w:t xml:space="preserve">, број 11. Ниш: Филозофски факултет, 2019, стр. </w:t>
            </w:r>
            <w:r>
              <w:t>329–342</w:t>
            </w:r>
            <w:r w:rsidRPr="00A94CAA">
              <w:t>. УДК 821.133.1.09 Дидро Д. ISSN 1821-3332</w:t>
            </w:r>
          </w:p>
        </w:tc>
        <w:tc>
          <w:tcPr>
            <w:tcW w:w="1061" w:type="dxa"/>
            <w:gridSpan w:val="2"/>
            <w:vAlign w:val="center"/>
          </w:tcPr>
          <w:p w14:paraId="188754ED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M51</w:t>
            </w:r>
          </w:p>
        </w:tc>
      </w:tr>
      <w:tr w:rsidR="00F9690F" w:rsidRPr="0082465B" w14:paraId="3F22CB96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A2452EF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5E8E9B79" w14:textId="77777777" w:rsidR="00F9690F" w:rsidRPr="00241F5A" w:rsidRDefault="00241F5A" w:rsidP="00241F5A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У раду је елаборирана Дидроова теорија грађанске драме онако како ју је француски просветитељ изнео у списима </w:t>
            </w:r>
            <w:r w:rsidRPr="00241F5A">
              <w:rPr>
                <w:i/>
                <w:sz w:val="20"/>
                <w:szCs w:val="20"/>
              </w:rPr>
              <w:t>Разговори о Ванбрачном сину</w:t>
            </w:r>
            <w:r>
              <w:rPr>
                <w:sz w:val="20"/>
                <w:szCs w:val="20"/>
              </w:rPr>
              <w:t xml:space="preserve"> и </w:t>
            </w:r>
            <w:r w:rsidRPr="00241F5A">
              <w:rPr>
                <w:i/>
                <w:sz w:val="20"/>
                <w:szCs w:val="20"/>
              </w:rPr>
              <w:t>О драмској поезији</w:t>
            </w:r>
            <w:r>
              <w:rPr>
                <w:sz w:val="20"/>
                <w:szCs w:val="20"/>
              </w:rPr>
              <w:t xml:space="preserve">, из чега се систематизује просветитељска поетика драме која је, према Дидроовој замисли, требало да следи дух друштвене савремености, као што што је и антички театар био политички театар који је одражавао друштвене односе свога доба. </w:t>
            </w:r>
          </w:p>
        </w:tc>
        <w:tc>
          <w:tcPr>
            <w:tcW w:w="1061" w:type="dxa"/>
            <w:gridSpan w:val="2"/>
            <w:vAlign w:val="center"/>
          </w:tcPr>
          <w:p w14:paraId="1FEF6C84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74EF37FE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4E905D8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6A920CD4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003074C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0F3B9FC4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7D6CDBAC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Align w:val="center"/>
          </w:tcPr>
          <w:p w14:paraId="5434495C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3297CDE3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84408DB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9178" w:type="dxa"/>
            <w:gridSpan w:val="6"/>
            <w:vAlign w:val="center"/>
          </w:tcPr>
          <w:p w14:paraId="05147D86" w14:textId="77777777" w:rsidR="00F9690F" w:rsidRPr="00195498" w:rsidRDefault="00F9690F" w:rsidP="003C72C8">
            <w:pPr>
              <w:rPr>
                <w:lang w:val="ru-RU"/>
              </w:rPr>
            </w:pPr>
            <w:r w:rsidRPr="00195498">
              <w:rPr>
                <w:lang w:val="ru-RU"/>
              </w:rPr>
              <w:t xml:space="preserve">Јањић, Милан. „(Пред)револуционарни дух у Дидроовој </w:t>
            </w:r>
            <w:r w:rsidRPr="00195498">
              <w:rPr>
                <w:i/>
                <w:lang w:val="ru-RU"/>
              </w:rPr>
              <w:t>Енциклопедији</w:t>
            </w:r>
            <w:r w:rsidRPr="00413C0C">
              <w:rPr>
                <w:lang w:val="ru-RU"/>
              </w:rPr>
              <w:t>”</w:t>
            </w:r>
            <w:r w:rsidRPr="00195498">
              <w:rPr>
                <w:lang w:val="ru-RU"/>
              </w:rPr>
              <w:t xml:space="preserve">. </w:t>
            </w:r>
            <w:r w:rsidRPr="00534DE0">
              <w:rPr>
                <w:i/>
              </w:rPr>
              <w:t>Philologia</w:t>
            </w:r>
            <w:r w:rsidRPr="00195498">
              <w:rPr>
                <w:i/>
                <w:lang w:val="ru-RU"/>
              </w:rPr>
              <w:t xml:space="preserve"> </w:t>
            </w:r>
            <w:r w:rsidRPr="00534DE0">
              <w:rPr>
                <w:i/>
                <w:lang w:val="en-GB"/>
              </w:rPr>
              <w:t>M</w:t>
            </w:r>
            <w:r w:rsidRPr="00534DE0">
              <w:rPr>
                <w:i/>
              </w:rPr>
              <w:t>ediana</w:t>
            </w:r>
            <w:r w:rsidRPr="00195498">
              <w:rPr>
                <w:lang w:val="ru-RU"/>
              </w:rPr>
              <w:t xml:space="preserve">, година </w:t>
            </w:r>
            <w:r>
              <w:rPr>
                <w:lang w:val="en-GB"/>
              </w:rPr>
              <w:t>X</w:t>
            </w:r>
            <w:r w:rsidRPr="00195498">
              <w:rPr>
                <w:lang w:val="ru-RU"/>
              </w:rPr>
              <w:t xml:space="preserve">, број 10. Ниш: Филозофски факултет, 2018, стр. 335–349. УДК 821.1331.1.09 Дидро Д. </w:t>
            </w:r>
            <w:r>
              <w:t>ISSN</w:t>
            </w:r>
            <w:r w:rsidRPr="00195498">
              <w:rPr>
                <w:lang w:val="ru-RU"/>
              </w:rPr>
              <w:t xml:space="preserve"> 1821-3332</w:t>
            </w:r>
          </w:p>
        </w:tc>
        <w:tc>
          <w:tcPr>
            <w:tcW w:w="1061" w:type="dxa"/>
            <w:gridSpan w:val="2"/>
            <w:vAlign w:val="center"/>
          </w:tcPr>
          <w:p w14:paraId="7E20277C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M51</w:t>
            </w:r>
          </w:p>
        </w:tc>
      </w:tr>
      <w:tr w:rsidR="00F9690F" w:rsidRPr="0082465B" w14:paraId="5E37704E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4C25177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2DBBE719" w14:textId="77777777" w:rsidR="00F9690F" w:rsidRPr="00241F5A" w:rsidRDefault="00241F5A" w:rsidP="009801D1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У раду је сагледан просветитељски ангажман </w:t>
            </w:r>
            <w:r w:rsidR="00985DEB">
              <w:rPr>
                <w:sz w:val="20"/>
                <w:szCs w:val="20"/>
              </w:rPr>
              <w:t xml:space="preserve">Денија Дидроа кроз његово дводеценијско руковођење </w:t>
            </w:r>
            <w:r w:rsidR="00985DEB" w:rsidRPr="00985DEB">
              <w:rPr>
                <w:i/>
                <w:sz w:val="20"/>
                <w:szCs w:val="20"/>
              </w:rPr>
              <w:t>Енциклопедијом</w:t>
            </w:r>
            <w:r w:rsidR="00985DEB">
              <w:rPr>
                <w:sz w:val="20"/>
                <w:szCs w:val="20"/>
              </w:rPr>
              <w:t xml:space="preserve">, а с циљем да се утврде револуционарна стремљења која би се могла учитати у овај велики издавачки подухват у 18. веку. Дидроово делање у смислу просветљења грађана </w:t>
            </w:r>
            <w:r w:rsidR="009801D1">
              <w:rPr>
                <w:sz w:val="20"/>
                <w:szCs w:val="20"/>
              </w:rPr>
              <w:t>анализирано</w:t>
            </w:r>
            <w:r w:rsidR="00985DEB">
              <w:rPr>
                <w:sz w:val="20"/>
                <w:szCs w:val="20"/>
              </w:rPr>
              <w:t xml:space="preserve"> је </w:t>
            </w:r>
            <w:r w:rsidR="00985DEB">
              <w:rPr>
                <w:sz w:val="20"/>
                <w:szCs w:val="20"/>
              </w:rPr>
              <w:lastRenderedPageBreak/>
              <w:t xml:space="preserve">кроз одабране енциклопедијске чланке, а извесна веза је изведена с романом </w:t>
            </w:r>
            <w:r w:rsidR="00985DEB" w:rsidRPr="00985DEB">
              <w:rPr>
                <w:i/>
                <w:sz w:val="20"/>
                <w:szCs w:val="20"/>
              </w:rPr>
              <w:t>Редовница</w:t>
            </w:r>
            <w:r w:rsidR="00985DEB">
              <w:rPr>
                <w:sz w:val="20"/>
                <w:szCs w:val="20"/>
              </w:rPr>
              <w:t xml:space="preserve"> који је управо у доба Револуције био популаран због антиклерикалног читања које је нудио. </w:t>
            </w:r>
          </w:p>
        </w:tc>
        <w:tc>
          <w:tcPr>
            <w:tcW w:w="1061" w:type="dxa"/>
            <w:gridSpan w:val="2"/>
            <w:vAlign w:val="center"/>
          </w:tcPr>
          <w:p w14:paraId="1C9D6BA6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6FE5E538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FDC5899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133FAD84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CF062D2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D0BB8CC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5BD7840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Align w:val="center"/>
          </w:tcPr>
          <w:p w14:paraId="10BAF8C2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0103B397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1977EC4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9178" w:type="dxa"/>
            <w:gridSpan w:val="6"/>
            <w:vAlign w:val="center"/>
          </w:tcPr>
          <w:p w14:paraId="0BE714ED" w14:textId="77777777" w:rsidR="00F9690F" w:rsidRPr="00E926FD" w:rsidRDefault="00F9690F" w:rsidP="003C72C8">
            <w:pPr>
              <w:rPr>
                <w:lang w:val="ru-RU"/>
              </w:rPr>
            </w:pPr>
            <w:r w:rsidRPr="00E400FC">
              <w:t xml:space="preserve">Vučelj, Nermin i </w:t>
            </w:r>
            <w:r w:rsidRPr="003D777A">
              <w:rPr>
                <w:u w:val="single"/>
              </w:rPr>
              <w:t>Milan Janjić</w:t>
            </w:r>
            <w:r w:rsidRPr="00E400FC">
              <w:t xml:space="preserve">. </w:t>
            </w:r>
            <w:r w:rsidRPr="00985DEB">
              <w:rPr>
                <w:lang w:val="ru-RU"/>
              </w:rPr>
              <w:t xml:space="preserve">« </w:t>
            </w:r>
            <w:r w:rsidRPr="00534DE0">
              <w:rPr>
                <w:lang w:val="fr-FR"/>
              </w:rPr>
              <w:t>Le</w:t>
            </w:r>
            <w:r w:rsidRPr="00985DEB">
              <w:rPr>
                <w:lang w:val="ru-RU"/>
              </w:rPr>
              <w:t xml:space="preserve"> </w:t>
            </w:r>
            <w:r w:rsidRPr="00534DE0">
              <w:rPr>
                <w:lang w:val="fr-FR"/>
              </w:rPr>
              <w:t>drame</w:t>
            </w:r>
            <w:r w:rsidRPr="00985DEB">
              <w:rPr>
                <w:lang w:val="ru-RU"/>
              </w:rPr>
              <w:t xml:space="preserve"> </w:t>
            </w:r>
            <w:r w:rsidRPr="00534DE0">
              <w:rPr>
                <w:lang w:val="fr-FR"/>
              </w:rPr>
              <w:t xml:space="preserve">linguistique dans </w:t>
            </w:r>
            <w:r w:rsidRPr="00534DE0">
              <w:rPr>
                <w:i/>
                <w:lang w:val="fr-FR"/>
              </w:rPr>
              <w:t>Le Testament français</w:t>
            </w:r>
            <w:r>
              <w:rPr>
                <w:lang w:val="fr-FR"/>
              </w:rPr>
              <w:t xml:space="preserve"> d’</w:t>
            </w:r>
            <w:r w:rsidRPr="00534DE0">
              <w:rPr>
                <w:lang w:val="fr-FR"/>
              </w:rPr>
              <w:t>Andre</w:t>
            </w:r>
            <w:r>
              <w:rPr>
                <w:lang w:val="fr-FR"/>
              </w:rPr>
              <w:t xml:space="preserve">ï Makine et dans </w:t>
            </w:r>
            <w:r w:rsidRPr="00534DE0">
              <w:rPr>
                <w:i/>
                <w:lang w:val="fr-FR"/>
              </w:rPr>
              <w:t>La disparition de la langue française</w:t>
            </w:r>
            <w:r>
              <w:rPr>
                <w:lang w:val="fr-FR"/>
              </w:rPr>
              <w:t xml:space="preserve"> d’Assia Djebar ». </w:t>
            </w:r>
            <w:r w:rsidRPr="00395978">
              <w:rPr>
                <w:i/>
              </w:rPr>
              <w:t>Годишњак</w:t>
            </w:r>
            <w:r w:rsidRPr="00395978">
              <w:rPr>
                <w:i/>
                <w:lang w:val="fr-FR"/>
              </w:rPr>
              <w:t xml:space="preserve"> </w:t>
            </w:r>
            <w:r w:rsidRPr="00395978">
              <w:rPr>
                <w:i/>
              </w:rPr>
              <w:t>Филозофског</w:t>
            </w:r>
            <w:r w:rsidRPr="00395978">
              <w:rPr>
                <w:i/>
                <w:lang w:val="fr-FR"/>
              </w:rPr>
              <w:t xml:space="preserve"> </w:t>
            </w:r>
            <w:r w:rsidRPr="00395978">
              <w:rPr>
                <w:i/>
              </w:rPr>
              <w:t>факултета</w:t>
            </w:r>
            <w:r w:rsidRPr="00395978">
              <w:rPr>
                <w:i/>
                <w:lang w:val="fr-FR"/>
              </w:rPr>
              <w:t xml:space="preserve"> </w:t>
            </w:r>
            <w:r w:rsidRPr="00395978">
              <w:rPr>
                <w:i/>
              </w:rPr>
              <w:t>у</w:t>
            </w:r>
            <w:r w:rsidRPr="00395978">
              <w:rPr>
                <w:i/>
                <w:lang w:val="fr-FR"/>
              </w:rPr>
              <w:t xml:space="preserve"> </w:t>
            </w:r>
            <w:r w:rsidRPr="00395978">
              <w:rPr>
                <w:i/>
              </w:rPr>
              <w:t>Новом</w:t>
            </w:r>
            <w:r w:rsidRPr="00395978">
              <w:rPr>
                <w:i/>
                <w:lang w:val="fr-FR"/>
              </w:rPr>
              <w:t xml:space="preserve"> </w:t>
            </w:r>
            <w:r w:rsidRPr="00395978">
              <w:rPr>
                <w:i/>
              </w:rPr>
              <w:t>Саду</w:t>
            </w:r>
            <w:r w:rsidRPr="00395978">
              <w:rPr>
                <w:lang w:val="fr-FR"/>
              </w:rPr>
              <w:t xml:space="preserve">, </w:t>
            </w:r>
            <w:r>
              <w:t>књига</w:t>
            </w:r>
            <w:r w:rsidRPr="00395978">
              <w:rPr>
                <w:lang w:val="fr-FR"/>
              </w:rPr>
              <w:t xml:space="preserve"> </w:t>
            </w:r>
            <w:r w:rsidRPr="00534DE0">
              <w:rPr>
                <w:lang w:val="fr-FR"/>
              </w:rPr>
              <w:t xml:space="preserve">XLI-3. </w:t>
            </w:r>
            <w:r>
              <w:rPr>
                <w:lang w:val="en-GB"/>
              </w:rPr>
              <w:t>Нови</w:t>
            </w:r>
            <w:r w:rsidRPr="00534DE0">
              <w:rPr>
                <w:lang w:val="fr-FR"/>
              </w:rPr>
              <w:t xml:space="preserve"> </w:t>
            </w:r>
            <w:r>
              <w:rPr>
                <w:lang w:val="en-GB"/>
              </w:rPr>
              <w:t>Сад</w:t>
            </w:r>
            <w:r w:rsidRPr="00534DE0">
              <w:rPr>
                <w:lang w:val="fr-FR"/>
              </w:rPr>
              <w:t xml:space="preserve">: </w:t>
            </w:r>
            <w:r>
              <w:rPr>
                <w:lang w:val="en-GB"/>
              </w:rPr>
              <w:t>Филозофски</w:t>
            </w:r>
            <w:r w:rsidRPr="00534DE0">
              <w:rPr>
                <w:lang w:val="fr-FR"/>
              </w:rPr>
              <w:t xml:space="preserve"> </w:t>
            </w:r>
            <w:r>
              <w:rPr>
                <w:lang w:val="en-GB"/>
              </w:rPr>
              <w:t>факултет</w:t>
            </w:r>
            <w:r w:rsidRPr="00534DE0">
              <w:rPr>
                <w:lang w:val="fr-FR"/>
              </w:rPr>
              <w:t xml:space="preserve">, 2017, </w:t>
            </w:r>
            <w:r>
              <w:rPr>
                <w:lang w:val="en-GB"/>
              </w:rPr>
              <w:t>стр</w:t>
            </w:r>
            <w:r w:rsidRPr="00534DE0">
              <w:rPr>
                <w:lang w:val="fr-FR"/>
              </w:rPr>
              <w:t xml:space="preserve">. </w:t>
            </w:r>
            <w:r w:rsidRPr="00395978">
              <w:rPr>
                <w:lang w:val="fr-FR"/>
              </w:rPr>
              <w:t xml:space="preserve">527–548. </w:t>
            </w:r>
            <w:r w:rsidRPr="005D5476">
              <w:t>UDK 821.133.1:327.39.09 821.133.1.09-31 Makine A. 821.133.1.09(65) Djebar A. DOI: 10.19090/gff.2016.3.527-548. ISSN 0374-0730. e-ISSN 2334-7236.</w:t>
            </w:r>
          </w:p>
        </w:tc>
        <w:tc>
          <w:tcPr>
            <w:tcW w:w="1061" w:type="dxa"/>
            <w:gridSpan w:val="2"/>
            <w:vAlign w:val="center"/>
          </w:tcPr>
          <w:p w14:paraId="3B1A74E8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M51</w:t>
            </w:r>
          </w:p>
        </w:tc>
      </w:tr>
      <w:tr w:rsidR="00F9690F" w:rsidRPr="0082465B" w14:paraId="2EB61B9A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60D4A07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46DD9B6D" w14:textId="77777777" w:rsidR="00F9690F" w:rsidRPr="00985DEB" w:rsidRDefault="00985DEB" w:rsidP="001C0E9C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У овом коауторском раду се анализира билингвална језичка драма у два франкофона романа – </w:t>
            </w:r>
            <w:r w:rsidRPr="001C0E9C">
              <w:rPr>
                <w:i/>
                <w:sz w:val="20"/>
                <w:szCs w:val="20"/>
              </w:rPr>
              <w:t>Француско завештање</w:t>
            </w:r>
            <w:r>
              <w:rPr>
                <w:sz w:val="20"/>
                <w:szCs w:val="20"/>
              </w:rPr>
              <w:t xml:space="preserve"> Андреја Макина и </w:t>
            </w:r>
            <w:r w:rsidRPr="001C0E9C">
              <w:rPr>
                <w:i/>
                <w:sz w:val="20"/>
                <w:szCs w:val="20"/>
              </w:rPr>
              <w:t>Нестајање француског језика</w:t>
            </w:r>
            <w:r w:rsidR="009801D1">
              <w:rPr>
                <w:sz w:val="20"/>
                <w:szCs w:val="20"/>
              </w:rPr>
              <w:t xml:space="preserve"> Ас</w:t>
            </w:r>
            <w:r>
              <w:rPr>
                <w:sz w:val="20"/>
                <w:szCs w:val="20"/>
              </w:rPr>
              <w:t>је Џебар. Поред анализе идентитетске трауме романе</w:t>
            </w:r>
            <w:r w:rsidR="001C0E9C">
              <w:rPr>
                <w:sz w:val="20"/>
                <w:szCs w:val="20"/>
              </w:rPr>
              <w:t>скних јунака, у овом истраживањ</w:t>
            </w:r>
            <w:r>
              <w:rPr>
                <w:sz w:val="20"/>
                <w:szCs w:val="20"/>
              </w:rPr>
              <w:t xml:space="preserve">у се разматра и однос оба </w:t>
            </w:r>
            <w:r w:rsidR="001C0E9C">
              <w:rPr>
                <w:sz w:val="20"/>
                <w:szCs w:val="20"/>
              </w:rPr>
              <w:t>романсијера</w:t>
            </w:r>
            <w:r>
              <w:rPr>
                <w:sz w:val="20"/>
                <w:szCs w:val="20"/>
              </w:rPr>
              <w:t xml:space="preserve"> према француском језику. Рад расветљава комплексне културолошко-језичке ситуације код два романескна јунака, али и код два </w:t>
            </w:r>
            <w:r w:rsidR="001C0E9C">
              <w:rPr>
                <w:sz w:val="20"/>
                <w:szCs w:val="20"/>
              </w:rPr>
              <w:t>писца</w:t>
            </w:r>
            <w:r>
              <w:rPr>
                <w:sz w:val="20"/>
                <w:szCs w:val="20"/>
              </w:rPr>
              <w:t>, тј. аналитички је сагледана језичка драма која н</w:t>
            </w:r>
            <w:r w:rsidR="001C0E9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стаје у диглосичком судару два језика – матерњег (руског/арапског) и француског као усвојеног страног језика. </w:t>
            </w:r>
          </w:p>
        </w:tc>
        <w:tc>
          <w:tcPr>
            <w:tcW w:w="1061" w:type="dxa"/>
            <w:gridSpan w:val="2"/>
            <w:vAlign w:val="center"/>
          </w:tcPr>
          <w:p w14:paraId="3EA0825E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1D9500ED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B4DB96A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FCEE284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ED48E9D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0B6FDA68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D1A7230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Align w:val="center"/>
          </w:tcPr>
          <w:p w14:paraId="5A9B944C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3C0F9EBE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78514B5A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9178" w:type="dxa"/>
            <w:gridSpan w:val="6"/>
            <w:vAlign w:val="center"/>
          </w:tcPr>
          <w:p w14:paraId="61C4B1EE" w14:textId="77777777" w:rsidR="00F9690F" w:rsidRPr="00E926FD" w:rsidRDefault="00F9690F" w:rsidP="003C72C8">
            <w:pPr>
              <w:rPr>
                <w:lang w:val="ru-RU"/>
              </w:rPr>
            </w:pPr>
            <w:r w:rsidRPr="003D777A">
              <w:rPr>
                <w:u w:val="single"/>
              </w:rPr>
              <w:t>Janjić, Milan</w:t>
            </w:r>
            <w:r w:rsidRPr="005D5476">
              <w:t xml:space="preserve"> i Nermin Vučelj. </w:t>
            </w:r>
            <w:r>
              <w:rPr>
                <w:lang w:val="fr-FR"/>
              </w:rPr>
              <w:t xml:space="preserve">« </w:t>
            </w:r>
            <w:r w:rsidRPr="0088687F">
              <w:rPr>
                <w:lang w:val="fr-FR"/>
              </w:rPr>
              <w:t xml:space="preserve">La réception de </w:t>
            </w:r>
            <w:r w:rsidRPr="00907FB9">
              <w:rPr>
                <w:i/>
                <w:lang w:val="fr-FR"/>
              </w:rPr>
              <w:t>La Religieuse</w:t>
            </w:r>
            <w:r>
              <w:rPr>
                <w:lang w:val="fr-FR"/>
              </w:rPr>
              <w:t xml:space="preserve"> de Diderot – du roman au cinéma ». </w:t>
            </w:r>
            <w:r w:rsidRPr="005D5476">
              <w:rPr>
                <w:i/>
              </w:rPr>
              <w:t>Philologia Mediana</w:t>
            </w:r>
            <w:r w:rsidRPr="005D5476">
              <w:t xml:space="preserve">, year </w:t>
            </w:r>
            <w:r w:rsidRPr="00225D02">
              <w:t xml:space="preserve">IX, vol. 9. Niš: Filozofski fakultet, 2017, str. 99–111. </w:t>
            </w:r>
            <w:r>
              <w:t xml:space="preserve">CDU 821.133.1.09-31 Diderot D. 791.31:82. </w:t>
            </w:r>
            <w:r w:rsidRPr="00225D02">
              <w:t>ISSN 1821-3332</w:t>
            </w:r>
            <w:r>
              <w:t>.</w:t>
            </w:r>
          </w:p>
        </w:tc>
        <w:tc>
          <w:tcPr>
            <w:tcW w:w="1061" w:type="dxa"/>
            <w:gridSpan w:val="2"/>
            <w:vAlign w:val="center"/>
          </w:tcPr>
          <w:p w14:paraId="51EAE993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BC300C">
              <w:rPr>
                <w:b/>
                <w:lang w:val="en-GB"/>
              </w:rPr>
              <w:t>M51</w:t>
            </w:r>
          </w:p>
        </w:tc>
      </w:tr>
      <w:tr w:rsidR="00F9690F" w:rsidRPr="0082465B" w14:paraId="1636F2FB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E49BFE8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2E53FBCD" w14:textId="77777777" w:rsidR="00F9690F" w:rsidRPr="00985DEB" w:rsidRDefault="00985DEB" w:rsidP="00F03550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У овом коауторском раду се анали</w:t>
            </w:r>
            <w:r w:rsidR="001C0E9C">
              <w:rPr>
                <w:sz w:val="20"/>
                <w:szCs w:val="20"/>
              </w:rPr>
              <w:t xml:space="preserve">зира рецепција Дидроове </w:t>
            </w:r>
            <w:r w:rsidR="001C0E9C" w:rsidRPr="001C0E9C">
              <w:rPr>
                <w:i/>
                <w:sz w:val="20"/>
                <w:szCs w:val="20"/>
              </w:rPr>
              <w:t>Редовниц</w:t>
            </w:r>
            <w:r w:rsidRPr="001C0E9C">
              <w:rPr>
                <w:i/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у Француској, како штампаних издања, тако и њених филмских адаптација, и изводе се паралеле с рецепцијом овог Дидроовог дела у Југославији. Рад даје преглед како су наведени Дидроов роман читали у време Револуције, како је на њега гледало друштво доба Рестаурације</w:t>
            </w:r>
            <w:r w:rsidR="00F03550">
              <w:rPr>
                <w:sz w:val="20"/>
                <w:szCs w:val="20"/>
              </w:rPr>
              <w:t xml:space="preserve">. У раду се такође претреса афера са забраном Риветовог филма снимљеног по Дидроовом роману (1966), затим критички анализира Никлуова филмска адаптација (2013). Традиција бројних реиздања српскохрватског превода </w:t>
            </w:r>
            <w:r w:rsidR="00F03550" w:rsidRPr="00F03550">
              <w:rPr>
                <w:i/>
                <w:sz w:val="20"/>
                <w:szCs w:val="20"/>
              </w:rPr>
              <w:t>Редовнице</w:t>
            </w:r>
            <w:r w:rsidR="00F03550">
              <w:rPr>
                <w:sz w:val="20"/>
                <w:szCs w:val="20"/>
              </w:rPr>
              <w:t xml:space="preserve"> објашњена је самим друштвеним контекстом социјалистичке Југославије у којој су пропагирани атеизам и антиклерикализам.  </w:t>
            </w:r>
          </w:p>
        </w:tc>
        <w:tc>
          <w:tcPr>
            <w:tcW w:w="1061" w:type="dxa"/>
            <w:gridSpan w:val="2"/>
            <w:vAlign w:val="center"/>
          </w:tcPr>
          <w:p w14:paraId="66EFBD1D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62F966D7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5143ACF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420F6D0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FA93458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194A094F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853E08F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Align w:val="center"/>
          </w:tcPr>
          <w:p w14:paraId="54DAA504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5D85F779" w14:textId="77777777" w:rsidTr="003C72C8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4EB1E86" w14:textId="77777777" w:rsidR="00F9690F" w:rsidRPr="0082465B" w:rsidRDefault="00F9690F" w:rsidP="00E171E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9178" w:type="dxa"/>
            <w:gridSpan w:val="6"/>
            <w:vAlign w:val="center"/>
          </w:tcPr>
          <w:p w14:paraId="1AFEBB0C" w14:textId="77777777" w:rsidR="00F9690F" w:rsidRPr="00E926FD" w:rsidRDefault="00F9690F" w:rsidP="003C72C8">
            <w:pPr>
              <w:rPr>
                <w:lang w:val="ru-RU"/>
              </w:rPr>
            </w:pPr>
            <w:r w:rsidRPr="00195498">
              <w:rPr>
                <w:lang w:val="ru-RU"/>
              </w:rPr>
              <w:t>Јањић, Милан. „Д</w:t>
            </w:r>
            <w:r>
              <w:rPr>
                <w:lang w:val="ru-RU"/>
              </w:rPr>
              <w:t>ени Дидро као либертенски писац</w:t>
            </w:r>
            <w:r w:rsidRPr="00EA2194">
              <w:rPr>
                <w:lang w:val="ru-RU"/>
              </w:rPr>
              <w:t>”</w:t>
            </w:r>
            <w:r w:rsidRPr="00195498">
              <w:rPr>
                <w:lang w:val="ru-RU"/>
              </w:rPr>
              <w:t xml:space="preserve">. </w:t>
            </w:r>
            <w:r w:rsidRPr="00195498">
              <w:rPr>
                <w:i/>
                <w:lang w:val="ru-RU"/>
              </w:rPr>
              <w:t>Савремена наука о језику и књижевности</w:t>
            </w:r>
            <w:r>
              <w:rPr>
                <w:lang w:val="ru-RU"/>
              </w:rPr>
              <w:t>, тематски зборник радова</w:t>
            </w:r>
            <w:r w:rsidRPr="00195498">
              <w:rPr>
                <w:lang w:val="ru-RU"/>
              </w:rPr>
              <w:t xml:space="preserve">. </w:t>
            </w:r>
            <w:r w:rsidRPr="00275FFC">
              <w:rPr>
                <w:lang w:val="ru-RU"/>
              </w:rPr>
              <w:t xml:space="preserve">Ниш: Филозофски факултет, 2016, стр. 339–349. УДК 821.133.1.09.31:929 Дидро Д. </w:t>
            </w:r>
            <w:r>
              <w:t>ISBN</w:t>
            </w:r>
            <w:r w:rsidRPr="00275FFC">
              <w:rPr>
                <w:lang w:val="ru-RU"/>
              </w:rPr>
              <w:t xml:space="preserve"> 978-86-7379-432-7</w:t>
            </w:r>
          </w:p>
        </w:tc>
        <w:tc>
          <w:tcPr>
            <w:tcW w:w="1061" w:type="dxa"/>
            <w:gridSpan w:val="2"/>
            <w:vAlign w:val="center"/>
          </w:tcPr>
          <w:p w14:paraId="395A6FF6" w14:textId="77777777" w:rsidR="00F9690F" w:rsidRPr="0082465B" w:rsidRDefault="00F9690F" w:rsidP="00F9690F">
            <w:pPr>
              <w:jc w:val="center"/>
              <w:rPr>
                <w:lang w:val="ru-RU"/>
              </w:rPr>
            </w:pPr>
            <w:r w:rsidRPr="00195498">
              <w:rPr>
                <w:b/>
                <w:lang w:val="en-GB"/>
              </w:rPr>
              <w:t>M33</w:t>
            </w:r>
          </w:p>
        </w:tc>
      </w:tr>
      <w:tr w:rsidR="00F9690F" w:rsidRPr="0082465B" w14:paraId="48EE8497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773C541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2F6348D3" w14:textId="77777777" w:rsidR="00F9690F" w:rsidRPr="00F03550" w:rsidRDefault="00F03550" w:rsidP="001C0E9C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Либертенство, које је у Француској 18. века имало двоструко узајамно супротстављено одређење, у зависности од тачке гледишта – позитивно као слободоумље и негативно као неморалност, у раду се разматра у вези с Дидроом који је сагледан под одредницом истакнутог либертена просветитељске епохе. Из угла либертенске мисли</w:t>
            </w:r>
            <w:r w:rsidR="001C0E9C">
              <w:rPr>
                <w:sz w:val="20"/>
                <w:szCs w:val="20"/>
              </w:rPr>
              <w:t>, и</w:t>
            </w:r>
            <w:r>
              <w:rPr>
                <w:sz w:val="20"/>
                <w:szCs w:val="20"/>
              </w:rPr>
              <w:t xml:space="preserve"> кроз оба супро</w:t>
            </w:r>
            <w:r w:rsidR="009801D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стављена одређења</w:t>
            </w:r>
            <w:r w:rsidR="001C0E9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у раду су а</w:t>
            </w:r>
            <w:r w:rsidR="001C0E9C">
              <w:rPr>
                <w:sz w:val="20"/>
                <w:szCs w:val="20"/>
              </w:rPr>
              <w:t>нализирана</w:t>
            </w:r>
            <w:r>
              <w:rPr>
                <w:sz w:val="20"/>
                <w:szCs w:val="20"/>
              </w:rPr>
              <w:t xml:space="preserve"> три књижевна дела француског просветитеља – </w:t>
            </w:r>
            <w:r w:rsidRPr="00F03550">
              <w:rPr>
                <w:i/>
                <w:sz w:val="20"/>
                <w:szCs w:val="20"/>
              </w:rPr>
              <w:t>Индискретни драгуљи</w:t>
            </w:r>
            <w:r>
              <w:rPr>
                <w:sz w:val="20"/>
                <w:szCs w:val="20"/>
              </w:rPr>
              <w:t xml:space="preserve">, </w:t>
            </w:r>
            <w:r w:rsidRPr="00F03550">
              <w:rPr>
                <w:i/>
                <w:sz w:val="20"/>
                <w:szCs w:val="20"/>
              </w:rPr>
              <w:t>Редовница</w:t>
            </w:r>
            <w:r>
              <w:rPr>
                <w:sz w:val="20"/>
                <w:szCs w:val="20"/>
              </w:rPr>
              <w:t xml:space="preserve"> и </w:t>
            </w:r>
            <w:r w:rsidRPr="00F03550">
              <w:rPr>
                <w:i/>
                <w:sz w:val="20"/>
                <w:szCs w:val="20"/>
              </w:rPr>
              <w:t>Рамоов синовац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61" w:type="dxa"/>
            <w:gridSpan w:val="2"/>
            <w:vAlign w:val="center"/>
          </w:tcPr>
          <w:p w14:paraId="0EED8406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6F136F8D" w14:textId="77777777" w:rsidTr="003C72C8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161675B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10C6C103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3E75759" w14:textId="77777777" w:rsidR="00F9690F" w:rsidRPr="00053A54" w:rsidRDefault="00F9690F" w:rsidP="003C72C8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053A5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D0ECCB5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BD01601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Align w:val="center"/>
          </w:tcPr>
          <w:p w14:paraId="08E90938" w14:textId="77777777" w:rsidR="00F9690F" w:rsidRPr="0082465B" w:rsidRDefault="00F9690F" w:rsidP="003C72C8">
            <w:pPr>
              <w:rPr>
                <w:lang w:val="ru-RU"/>
              </w:rPr>
            </w:pPr>
          </w:p>
        </w:tc>
      </w:tr>
      <w:tr w:rsidR="00F9690F" w:rsidRPr="0082465B" w14:paraId="6300E06C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57AB55A1" w14:textId="77777777" w:rsidR="00F9690F" w:rsidRPr="0082465B" w:rsidRDefault="00F9690F" w:rsidP="00E171EE">
            <w:pPr>
              <w:rPr>
                <w:sz w:val="20"/>
                <w:szCs w:val="20"/>
                <w:lang w:val="ru-RU"/>
              </w:rPr>
            </w:pPr>
          </w:p>
        </w:tc>
      </w:tr>
      <w:tr w:rsidR="00F9690F" w:rsidRPr="0082465B" w14:paraId="45CDE664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33AE6E65" w14:textId="77777777" w:rsidR="00F9690F" w:rsidRPr="0082465B" w:rsidRDefault="00F9690F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F9690F" w:rsidRPr="0082465B" w14:paraId="1D43BDF4" w14:textId="77777777" w:rsidTr="003C72C8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70C7208" w14:textId="77777777" w:rsidR="00F9690F" w:rsidRPr="0082465B" w:rsidRDefault="00F9690F" w:rsidP="003C72C8">
            <w:pPr>
              <w:rPr>
                <w:b/>
                <w:sz w:val="20"/>
                <w:szCs w:val="20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37F5F5F" w14:textId="77777777" w:rsidR="00F9690F" w:rsidRPr="00E171EE" w:rsidRDefault="00F9690F" w:rsidP="003C72C8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E171EE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87A7768" w14:textId="77777777" w:rsidR="00F9690F" w:rsidRPr="0082465B" w:rsidRDefault="00F9690F" w:rsidP="003C72C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F9690F" w:rsidRPr="0082465B" w14:paraId="77B1A0B4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4ADB0611" w14:textId="77777777" w:rsidR="00CD315D" w:rsidRDefault="00CD315D" w:rsidP="009801D1">
            <w:pPr>
              <w:rPr>
                <w:lang w:val="ru-RU"/>
              </w:rPr>
            </w:pPr>
          </w:p>
          <w:p w14:paraId="4F849E81" w14:textId="77777777" w:rsidR="00F9690F" w:rsidRDefault="009801D1" w:rsidP="009801D1">
            <w:pPr>
              <w:rPr>
                <w:lang w:val="ru-RU"/>
              </w:rPr>
            </w:pPr>
            <w:r>
              <w:rPr>
                <w:lang w:val="ru-RU"/>
              </w:rPr>
              <w:t xml:space="preserve">Кандидат МА </w:t>
            </w:r>
            <w:r w:rsidR="00F9690F" w:rsidRPr="00E171EE">
              <w:rPr>
                <w:lang w:val="ru-RU"/>
              </w:rPr>
              <w:t xml:space="preserve">Милан Н. Јањић </w:t>
            </w:r>
            <w:r w:rsidR="00F9690F">
              <w:rPr>
                <w:lang w:val="ru-RU"/>
              </w:rPr>
              <w:t>је положио све предмете на докторским академским студијама филол</w:t>
            </w:r>
            <w:r w:rsidR="00772B31">
              <w:rPr>
                <w:lang w:val="ru-RU"/>
              </w:rPr>
              <w:t>огије на Филозофском факултету У</w:t>
            </w:r>
            <w:r w:rsidR="00F9690F">
              <w:rPr>
                <w:lang w:val="ru-RU"/>
              </w:rPr>
              <w:t>ниверзитета у Нишу и испунио све услове</w:t>
            </w:r>
            <w:r w:rsidR="00772B31">
              <w:rPr>
                <w:lang w:val="ru-RU"/>
              </w:rPr>
              <w:t>,</w:t>
            </w:r>
            <w:r w:rsidR="00F9690F">
              <w:rPr>
                <w:lang w:val="ru-RU"/>
              </w:rPr>
              <w:t xml:space="preserve"> предвиђене важећим </w:t>
            </w:r>
            <w:r>
              <w:rPr>
                <w:lang w:val="ru-RU"/>
              </w:rPr>
              <w:t xml:space="preserve">одредбама Закона о високом образовању, Статутом Универзитета у Нишу и Статутом Филозофског факултета, чиме је стекао услов за подношење захтева </w:t>
            </w:r>
            <w:r w:rsidR="00F9690F">
              <w:rPr>
                <w:lang w:val="ru-RU"/>
              </w:rPr>
              <w:t>за одобрење теме докторске дисертације.</w:t>
            </w:r>
          </w:p>
          <w:p w14:paraId="2DC19D05" w14:textId="77777777" w:rsidR="00CD315D" w:rsidRPr="00E171EE" w:rsidRDefault="00CD315D" w:rsidP="009801D1">
            <w:pPr>
              <w:rPr>
                <w:lang w:val="ru-RU"/>
              </w:rPr>
            </w:pPr>
          </w:p>
        </w:tc>
      </w:tr>
      <w:tr w:rsidR="00F9690F" w:rsidRPr="0082465B" w14:paraId="6594899F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746F1C10" w14:textId="77777777" w:rsidR="00F9690F" w:rsidRPr="0082465B" w:rsidRDefault="00F9690F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F9690F" w:rsidRPr="0082465B" w14:paraId="6A5688DB" w14:textId="77777777" w:rsidTr="003C72C8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E7083B0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D78B222" w14:textId="77777777" w:rsidR="00F9690F" w:rsidRPr="00B039C3" w:rsidRDefault="009801D1" w:rsidP="003C72C8">
            <w:r>
              <w:t xml:space="preserve">Др </w:t>
            </w:r>
            <w:r w:rsidR="00F9690F">
              <w:t>Нермин Вучељ, ванредни професор</w:t>
            </w:r>
          </w:p>
        </w:tc>
      </w:tr>
      <w:tr w:rsidR="00F9690F" w:rsidRPr="0082465B" w14:paraId="495EBC3E" w14:textId="77777777" w:rsidTr="003C72C8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4CD36D7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1FBDA48F" w14:textId="77777777" w:rsidR="00F9690F" w:rsidRPr="0082465B" w:rsidRDefault="00F9690F" w:rsidP="003C72C8">
            <w:pPr>
              <w:rPr>
                <w:lang w:val="ru-RU"/>
              </w:rPr>
            </w:pPr>
            <w:r>
              <w:rPr>
                <w:lang w:val="ru-RU"/>
              </w:rPr>
              <w:t>Француска књижевност и култура</w:t>
            </w:r>
          </w:p>
        </w:tc>
      </w:tr>
      <w:tr w:rsidR="00F9690F" w:rsidRPr="0082465B" w14:paraId="13BB712F" w14:textId="77777777" w:rsidTr="003C72C8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2687C80" w14:textId="77777777" w:rsidR="00F9690F" w:rsidRPr="0082465B" w:rsidRDefault="00F9690F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D7D1C82" w14:textId="77777777" w:rsidR="00F9690F" w:rsidRPr="00B039C3" w:rsidRDefault="00F9690F" w:rsidP="00B039C3">
            <w:pPr>
              <w:rPr>
                <w:lang w:val="ru-RU"/>
              </w:rPr>
            </w:pPr>
            <w:r w:rsidRPr="00B039C3">
              <w:rPr>
                <w:lang w:val="ru-RU"/>
              </w:rPr>
              <w:t>1.</w:t>
            </w:r>
            <w:r>
              <w:rPr>
                <w:lang w:val="ru-RU"/>
              </w:rPr>
              <w:t xml:space="preserve"> </w:t>
            </w:r>
            <w:r w:rsidRPr="00B039C3">
              <w:rPr>
                <w:lang w:val="ru-RU"/>
              </w:rPr>
              <w:t xml:space="preserve">11. 2020. </w:t>
            </w:r>
            <w:r>
              <w:rPr>
                <w:lang w:val="ru-RU"/>
              </w:rPr>
              <w:t xml:space="preserve"> </w:t>
            </w:r>
          </w:p>
        </w:tc>
      </w:tr>
      <w:tr w:rsidR="00F9690F" w:rsidRPr="0082465B" w14:paraId="277C9DF3" w14:textId="77777777" w:rsidTr="003C72C8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8F1D644" w14:textId="77777777" w:rsidR="00F9690F" w:rsidRPr="0082465B" w:rsidRDefault="00F9690F" w:rsidP="003C72C8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10B5BF67" w14:textId="77777777" w:rsidR="00F9690F" w:rsidRPr="0082465B" w:rsidRDefault="00F9690F" w:rsidP="003C72C8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Универзитета у Нишу</w:t>
            </w:r>
          </w:p>
        </w:tc>
      </w:tr>
      <w:tr w:rsidR="00F9690F" w:rsidRPr="0082465B" w14:paraId="1EA65250" w14:textId="77777777" w:rsidTr="003C72C8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72C42A59" w14:textId="77777777" w:rsidR="00F9690F" w:rsidRPr="0082465B" w:rsidRDefault="00F9690F" w:rsidP="003C72C8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6A998593" w14:textId="77777777" w:rsidR="00F9690F" w:rsidRPr="00B039C3" w:rsidRDefault="00F9690F" w:rsidP="003C72C8">
            <w:pPr>
              <w:rPr>
                <w:lang w:val="sr-Cyrl-CS"/>
              </w:rPr>
            </w:pPr>
            <w:r>
              <w:rPr>
                <w:lang w:val="en-US"/>
              </w:rPr>
              <w:t>nermin</w:t>
            </w:r>
            <w:r w:rsidRPr="00B039C3">
              <w:rPr>
                <w:lang w:val="sr-Cyrl-CS"/>
              </w:rPr>
              <w:t>.</w:t>
            </w:r>
            <w:r>
              <w:rPr>
                <w:lang w:val="en-US"/>
              </w:rPr>
              <w:t>vucelj</w:t>
            </w:r>
            <w:r w:rsidRPr="00B039C3">
              <w:rPr>
                <w:lang w:val="sr-Cyrl-CS"/>
              </w:rPr>
              <w:t>@</w:t>
            </w:r>
            <w:r>
              <w:rPr>
                <w:lang w:val="en-US"/>
              </w:rPr>
              <w:t>filfak</w:t>
            </w:r>
            <w:r w:rsidRPr="00B039C3">
              <w:rPr>
                <w:lang w:val="sr-Cyrl-CS"/>
              </w:rPr>
              <w:t>.</w:t>
            </w:r>
            <w:r>
              <w:rPr>
                <w:lang w:val="en-US"/>
              </w:rPr>
              <w:t>ni</w:t>
            </w:r>
            <w:r w:rsidRPr="00B039C3">
              <w:rPr>
                <w:lang w:val="sr-Cyrl-CS"/>
              </w:rPr>
              <w:t>.</w:t>
            </w:r>
            <w:r>
              <w:rPr>
                <w:lang w:val="en-US"/>
              </w:rPr>
              <w:t>ac</w:t>
            </w:r>
            <w:r w:rsidRPr="00B039C3">
              <w:rPr>
                <w:lang w:val="sr-Cyrl-CS"/>
              </w:rPr>
              <w:t>.</w:t>
            </w:r>
            <w:r>
              <w:rPr>
                <w:lang w:val="en-US"/>
              </w:rPr>
              <w:t>rs</w:t>
            </w:r>
          </w:p>
        </w:tc>
      </w:tr>
      <w:tr w:rsidR="00F9690F" w:rsidRPr="0082465B" w14:paraId="2964CEC2" w14:textId="77777777" w:rsidTr="003C72C8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DB08ED7" w14:textId="77777777" w:rsidR="00F9690F" w:rsidRPr="0082465B" w:rsidRDefault="00F9690F" w:rsidP="003C72C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lastRenderedPageBreak/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F9690F" w:rsidRPr="0082465B" w14:paraId="38E960F3" w14:textId="77777777" w:rsidTr="003C72C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B5CBDAC" w14:textId="77777777" w:rsidR="00F9690F" w:rsidRPr="0082465B" w:rsidRDefault="00F9690F" w:rsidP="003C72C8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4FE5371D" w14:textId="77777777" w:rsidR="00F9690F" w:rsidRDefault="00F9690F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  <w:p w14:paraId="27804641" w14:textId="77777777" w:rsidR="00CD315D" w:rsidRPr="0082465B" w:rsidRDefault="00CD315D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7F13E29B" w14:textId="77777777" w:rsidR="00F9690F" w:rsidRPr="0082465B" w:rsidRDefault="00F9690F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F9690F" w:rsidRPr="0082465B" w14:paraId="614AFA1A" w14:textId="77777777" w:rsidTr="003C72C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6C3921DE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66D52873" w14:textId="77777777" w:rsidR="00F9690F" w:rsidRPr="0082465B" w:rsidRDefault="00F9690F" w:rsidP="003C72C8">
            <w:pPr>
              <w:rPr>
                <w:lang w:val="ru-RU"/>
              </w:rPr>
            </w:pPr>
            <w:r>
              <w:t>Вучељ</w:t>
            </w:r>
            <w:r w:rsidRPr="001D1E7D">
              <w:rPr>
                <w:szCs w:val="20"/>
              </w:rPr>
              <w:t>, Нермин. „Геније у француској мисли 18. века</w:t>
            </w:r>
            <w:r w:rsidRPr="001D1E7D">
              <w:rPr>
                <w:color w:val="000000"/>
                <w:szCs w:val="20"/>
              </w:rPr>
              <w:t>”</w:t>
            </w:r>
            <w:r w:rsidRPr="001D1E7D">
              <w:rPr>
                <w:szCs w:val="20"/>
              </w:rPr>
              <w:t xml:space="preserve">. </w:t>
            </w:r>
            <w:r w:rsidRPr="001D1E7D">
              <w:rPr>
                <w:i/>
                <w:iCs/>
                <w:szCs w:val="20"/>
              </w:rPr>
              <w:t>Зборник Матице српске за књижевност и језик</w:t>
            </w:r>
            <w:r w:rsidRPr="001D1E7D">
              <w:rPr>
                <w:szCs w:val="20"/>
              </w:rPr>
              <w:t xml:space="preserve">, књига LXII, св. 1. Нови Сад: Матица српска, </w:t>
            </w:r>
            <w:r w:rsidRPr="00334008">
              <w:rPr>
                <w:szCs w:val="20"/>
              </w:rPr>
              <w:t>2014</w:t>
            </w:r>
            <w:r w:rsidRPr="001D1E7D">
              <w:rPr>
                <w:szCs w:val="20"/>
              </w:rPr>
              <w:t>, стр. 71–88. ISSN 0543-1220 | UDC 82(05). UDC 811.133.1’374”17”. UDC 111.852:159.924(44)”17”.</w:t>
            </w:r>
          </w:p>
        </w:tc>
        <w:tc>
          <w:tcPr>
            <w:tcW w:w="1061" w:type="dxa"/>
            <w:gridSpan w:val="2"/>
            <w:vAlign w:val="center"/>
          </w:tcPr>
          <w:p w14:paraId="1A7DA5B6" w14:textId="77777777" w:rsidR="00F9690F" w:rsidRPr="00B039C3" w:rsidRDefault="00F9690F" w:rsidP="006204C3">
            <w:pPr>
              <w:jc w:val="center"/>
              <w:rPr>
                <w:b/>
                <w:lang w:val="en-US"/>
              </w:rPr>
            </w:pPr>
            <w:r w:rsidRPr="00B039C3">
              <w:rPr>
                <w:b/>
                <w:lang w:val="en-US"/>
              </w:rPr>
              <w:t>M24</w:t>
            </w:r>
          </w:p>
        </w:tc>
      </w:tr>
      <w:tr w:rsidR="00F9690F" w:rsidRPr="0082465B" w14:paraId="6DEF222C" w14:textId="77777777" w:rsidTr="003C72C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469A020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33309596" w14:textId="77777777" w:rsidR="00F9690F" w:rsidRPr="0082465B" w:rsidRDefault="00F9690F" w:rsidP="003C72C8">
            <w:pPr>
              <w:rPr>
                <w:lang w:val="ru-RU"/>
              </w:rPr>
            </w:pPr>
            <w:r>
              <w:t>Вучељ</w:t>
            </w:r>
            <w:r w:rsidRPr="001D1E7D">
              <w:rPr>
                <w:szCs w:val="20"/>
              </w:rPr>
              <w:t>, Нермин. „Дидро и узвишено</w:t>
            </w:r>
            <w:r w:rsidRPr="001D1E7D">
              <w:rPr>
                <w:color w:val="000000"/>
                <w:szCs w:val="20"/>
              </w:rPr>
              <w:t>”</w:t>
            </w:r>
            <w:r w:rsidRPr="001D1E7D">
              <w:rPr>
                <w:szCs w:val="20"/>
              </w:rPr>
              <w:t xml:space="preserve">. </w:t>
            </w:r>
            <w:r w:rsidRPr="001D1E7D">
              <w:rPr>
                <w:i/>
                <w:szCs w:val="20"/>
              </w:rPr>
              <w:t>Зборник Матице српске за књижевност и језик</w:t>
            </w:r>
            <w:r w:rsidRPr="001D1E7D">
              <w:rPr>
                <w:szCs w:val="20"/>
              </w:rPr>
              <w:t xml:space="preserve">, </w:t>
            </w:r>
            <w:r w:rsidRPr="001D1E7D">
              <w:rPr>
                <w:szCs w:val="20"/>
                <w:lang w:val="sr-Cyrl-CS"/>
              </w:rPr>
              <w:t>књига</w:t>
            </w:r>
            <w:r w:rsidRPr="001D1E7D">
              <w:rPr>
                <w:szCs w:val="20"/>
              </w:rPr>
              <w:t xml:space="preserve"> LXI, св. </w:t>
            </w:r>
            <w:r w:rsidRPr="001D1E7D">
              <w:rPr>
                <w:szCs w:val="20"/>
                <w:lang w:val="sr-Cyrl-CS"/>
              </w:rPr>
              <w:t>1</w:t>
            </w:r>
            <w:r w:rsidRPr="001D1E7D">
              <w:rPr>
                <w:szCs w:val="20"/>
              </w:rPr>
              <w:t xml:space="preserve">. Нови Сад: </w:t>
            </w:r>
            <w:r w:rsidRPr="001D1E7D">
              <w:rPr>
                <w:szCs w:val="20"/>
                <w:lang w:val="sr-Cyrl-CS"/>
              </w:rPr>
              <w:t xml:space="preserve">Матица српска, </w:t>
            </w:r>
            <w:r w:rsidRPr="003E79E8">
              <w:rPr>
                <w:szCs w:val="20"/>
              </w:rPr>
              <w:t>201</w:t>
            </w:r>
            <w:r w:rsidRPr="003E79E8">
              <w:rPr>
                <w:szCs w:val="20"/>
                <w:lang w:val="sr-Cyrl-CS"/>
              </w:rPr>
              <w:t>3</w:t>
            </w:r>
            <w:r w:rsidRPr="001D1E7D">
              <w:rPr>
                <w:szCs w:val="20"/>
                <w:lang w:val="sr-Cyrl-CS"/>
              </w:rPr>
              <w:t>, стр. 109</w:t>
            </w:r>
            <w:r w:rsidRPr="001D1E7D">
              <w:rPr>
                <w:szCs w:val="20"/>
              </w:rPr>
              <w:t>–</w:t>
            </w:r>
            <w:r w:rsidRPr="001D1E7D">
              <w:rPr>
                <w:szCs w:val="20"/>
                <w:lang w:val="sr-Cyrl-CS"/>
              </w:rPr>
              <w:t xml:space="preserve">122. </w:t>
            </w:r>
            <w:r w:rsidRPr="001D1E7D">
              <w:rPr>
                <w:szCs w:val="20"/>
              </w:rPr>
              <w:t>ISSN 0543-1220 | UDC 82(05). UDC 821.133.1.09 Diderot.1 Diderot.</w:t>
            </w:r>
          </w:p>
        </w:tc>
        <w:tc>
          <w:tcPr>
            <w:tcW w:w="1061" w:type="dxa"/>
            <w:gridSpan w:val="2"/>
            <w:vAlign w:val="center"/>
          </w:tcPr>
          <w:p w14:paraId="69E76A8A" w14:textId="77777777" w:rsidR="00F9690F" w:rsidRPr="0082465B" w:rsidRDefault="00F9690F" w:rsidP="006204C3">
            <w:pPr>
              <w:jc w:val="center"/>
              <w:rPr>
                <w:lang w:val="ru-RU"/>
              </w:rPr>
            </w:pPr>
            <w:r w:rsidRPr="00B039C3">
              <w:rPr>
                <w:b/>
                <w:lang w:val="en-US"/>
              </w:rPr>
              <w:t>M24</w:t>
            </w:r>
          </w:p>
        </w:tc>
      </w:tr>
      <w:tr w:rsidR="00F9690F" w:rsidRPr="0082465B" w14:paraId="6C54C80F" w14:textId="77777777" w:rsidTr="003C72C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09FEDD5C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117ED124" w14:textId="77777777" w:rsidR="00F9690F" w:rsidRPr="0082465B" w:rsidRDefault="00F9690F" w:rsidP="003C72C8">
            <w:pPr>
              <w:rPr>
                <w:lang w:val="ru-RU"/>
              </w:rPr>
            </w:pPr>
            <w:r>
              <w:t>Вучељ</w:t>
            </w:r>
            <w:r w:rsidRPr="001D1E7D">
              <w:rPr>
                <w:szCs w:val="20"/>
              </w:rPr>
              <w:t>, Нермин. „Поимање укуса код француских просветитеља</w:t>
            </w:r>
            <w:r w:rsidRPr="001D1E7D">
              <w:rPr>
                <w:color w:val="000000"/>
                <w:szCs w:val="20"/>
              </w:rPr>
              <w:t>”</w:t>
            </w:r>
            <w:r w:rsidRPr="001D1E7D">
              <w:rPr>
                <w:szCs w:val="20"/>
              </w:rPr>
              <w:t xml:space="preserve">. </w:t>
            </w:r>
            <w:r w:rsidRPr="001D1E7D">
              <w:rPr>
                <w:i/>
                <w:szCs w:val="20"/>
              </w:rPr>
              <w:t>Зборник Матице српске за књижевност и језик</w:t>
            </w:r>
            <w:r w:rsidRPr="001D1E7D">
              <w:rPr>
                <w:szCs w:val="20"/>
              </w:rPr>
              <w:t xml:space="preserve">, </w:t>
            </w:r>
            <w:r w:rsidRPr="001D1E7D">
              <w:rPr>
                <w:szCs w:val="20"/>
                <w:lang w:val="sr-Cyrl-CS"/>
              </w:rPr>
              <w:t>књига</w:t>
            </w:r>
            <w:r w:rsidRPr="001D1E7D">
              <w:rPr>
                <w:szCs w:val="20"/>
              </w:rPr>
              <w:t xml:space="preserve"> LIX, св. 2. </w:t>
            </w:r>
            <w:r w:rsidRPr="001D1E7D">
              <w:rPr>
                <w:szCs w:val="20"/>
                <w:lang w:val="sr-Cyrl-CS"/>
              </w:rPr>
              <w:t>Нови Сад: Матица српска,</w:t>
            </w:r>
            <w:r w:rsidRPr="001D1E7D">
              <w:rPr>
                <w:szCs w:val="20"/>
              </w:rPr>
              <w:t xml:space="preserve"> </w:t>
            </w:r>
            <w:r w:rsidRPr="003E79E8">
              <w:rPr>
                <w:szCs w:val="20"/>
              </w:rPr>
              <w:t>2011</w:t>
            </w:r>
            <w:r w:rsidRPr="001D1E7D">
              <w:rPr>
                <w:szCs w:val="20"/>
                <w:lang w:val="sr-Cyrl-CS"/>
              </w:rPr>
              <w:t>, стр. 289</w:t>
            </w:r>
            <w:r w:rsidRPr="001D1E7D">
              <w:rPr>
                <w:szCs w:val="20"/>
              </w:rPr>
              <w:t>–306. ISSN 0543-1220 | UDC 82(05).</w:t>
            </w:r>
            <w:r w:rsidRPr="001D1E7D">
              <w:rPr>
                <w:szCs w:val="20"/>
                <w:lang w:val="sr-Cyrl-CS"/>
              </w:rPr>
              <w:t xml:space="preserve"> </w:t>
            </w:r>
            <w:r w:rsidRPr="001D1E7D">
              <w:rPr>
                <w:szCs w:val="20"/>
              </w:rPr>
              <w:t>UDC 821.133.1.09. / 82.0.</w:t>
            </w:r>
          </w:p>
        </w:tc>
        <w:tc>
          <w:tcPr>
            <w:tcW w:w="1061" w:type="dxa"/>
            <w:gridSpan w:val="2"/>
            <w:vAlign w:val="center"/>
          </w:tcPr>
          <w:p w14:paraId="492A06D4" w14:textId="77777777" w:rsidR="00F9690F" w:rsidRPr="0082465B" w:rsidRDefault="00F9690F" w:rsidP="006204C3">
            <w:pPr>
              <w:jc w:val="center"/>
              <w:rPr>
                <w:lang w:val="ru-RU"/>
              </w:rPr>
            </w:pPr>
            <w:r w:rsidRPr="00B039C3">
              <w:rPr>
                <w:b/>
                <w:lang w:val="en-US"/>
              </w:rPr>
              <w:t>M24</w:t>
            </w:r>
          </w:p>
        </w:tc>
      </w:tr>
      <w:tr w:rsidR="00F9690F" w:rsidRPr="0082465B" w14:paraId="7532A6A7" w14:textId="77777777" w:rsidTr="003C72C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0B8BC783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0C719AF9" w14:textId="77777777" w:rsidR="00F9690F" w:rsidRPr="0082465B" w:rsidRDefault="00F9690F" w:rsidP="003C72C8">
            <w:pPr>
              <w:rPr>
                <w:lang w:val="ru-RU"/>
              </w:rPr>
            </w:pPr>
            <w:r>
              <w:t xml:space="preserve">Вучељ, Нермин. „Јансенизам у Стендаловом роману </w:t>
            </w:r>
            <w:r w:rsidRPr="00B433A0">
              <w:rPr>
                <w:i/>
              </w:rPr>
              <w:t>Црвено и црно</w:t>
            </w:r>
            <w:r>
              <w:t xml:space="preserve">”. </w:t>
            </w:r>
            <w:r w:rsidRPr="00C10FB1">
              <w:rPr>
                <w:i/>
              </w:rPr>
              <w:t>Црквене студије</w:t>
            </w:r>
            <w:r>
              <w:t>, 15. Ниш: Центар за црквене студије, Центар за византијско-словенске студије, Међународни центар за православне студије, 2018, стр. 753‒770.</w:t>
            </w:r>
            <w:r w:rsidRPr="00334008">
              <w:t xml:space="preserve"> </w:t>
            </w:r>
            <w:r w:rsidRPr="00AD1445">
              <w:rPr>
                <w:rStyle w:val="itemextrafieldsvalue"/>
                <w:szCs w:val="20"/>
                <w:lang w:val="fr-CA"/>
              </w:rPr>
              <w:t>UDK</w:t>
            </w:r>
            <w:r w:rsidRPr="00AD1445">
              <w:rPr>
                <w:rStyle w:val="itemextrafieldsvalue"/>
                <w:szCs w:val="20"/>
              </w:rPr>
              <w:t xml:space="preserve"> 821.133.1.09. ISSN 1820-2446</w:t>
            </w:r>
            <w:r>
              <w:rPr>
                <w:rStyle w:val="itemextrafieldsvalue"/>
                <w:szCs w:val="20"/>
              </w:rPr>
              <w:t>.</w:t>
            </w:r>
          </w:p>
        </w:tc>
        <w:tc>
          <w:tcPr>
            <w:tcW w:w="1061" w:type="dxa"/>
            <w:gridSpan w:val="2"/>
            <w:vAlign w:val="center"/>
          </w:tcPr>
          <w:p w14:paraId="7D5306A3" w14:textId="77777777" w:rsidR="00F9690F" w:rsidRPr="0082465B" w:rsidRDefault="00F9690F" w:rsidP="006204C3">
            <w:pPr>
              <w:jc w:val="center"/>
              <w:rPr>
                <w:lang w:val="ru-RU"/>
              </w:rPr>
            </w:pPr>
            <w:r w:rsidRPr="00B039C3">
              <w:rPr>
                <w:b/>
                <w:lang w:val="en-US"/>
              </w:rPr>
              <w:t>M24</w:t>
            </w:r>
          </w:p>
        </w:tc>
      </w:tr>
      <w:tr w:rsidR="00F9690F" w:rsidRPr="0082465B" w14:paraId="29DE297F" w14:textId="77777777" w:rsidTr="003C72C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3305638" w14:textId="77777777" w:rsidR="00F9690F" w:rsidRPr="0082465B" w:rsidRDefault="00F9690F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60687E6E" w14:textId="77777777" w:rsidR="00F9690F" w:rsidRPr="0082465B" w:rsidRDefault="00F9690F" w:rsidP="003C72C8">
            <w:pPr>
              <w:rPr>
                <w:lang w:val="ru-RU"/>
              </w:rPr>
            </w:pPr>
            <w:r w:rsidRPr="004F7079">
              <w:rPr>
                <w:lang w:val="fr-FR"/>
              </w:rPr>
              <w:t xml:space="preserve">Vučelj, Nermin. </w:t>
            </w:r>
            <w:r>
              <w:rPr>
                <w:lang w:val="ru-RU"/>
              </w:rPr>
              <w:t>«</w:t>
            </w:r>
            <w:r w:rsidRPr="004F7079">
              <w:rPr>
                <w:lang w:val="fr-FR"/>
              </w:rPr>
              <w:t xml:space="preserve"> Les études sur Diderot en tant qu’esthéticien </w:t>
            </w:r>
            <w:r>
              <w:rPr>
                <w:lang w:val="ru-RU"/>
              </w:rPr>
              <w:t>»</w:t>
            </w:r>
            <w:r>
              <w:t xml:space="preserve">, </w:t>
            </w:r>
            <w:r w:rsidRPr="004F7079">
              <w:rPr>
                <w:i/>
              </w:rPr>
              <w:t>Philologia Mediana</w:t>
            </w:r>
            <w:r>
              <w:t>, X. Niš: Filozofski fakultet, 2018, str. 321‒333.</w:t>
            </w:r>
            <w:r w:rsidRPr="00875994">
              <w:rPr>
                <w:szCs w:val="20"/>
                <w:lang w:val="fr-CA"/>
              </w:rPr>
              <w:t xml:space="preserve"> </w:t>
            </w:r>
            <w:r w:rsidRPr="00875994">
              <w:rPr>
                <w:rStyle w:val="itemextrafieldsvalue"/>
                <w:szCs w:val="20"/>
                <w:lang w:val="fr-CA"/>
              </w:rPr>
              <w:t>UDK 821.133.1.09 Diderot D. ISSN 1821</w:t>
            </w:r>
            <w:r w:rsidRPr="00875994">
              <w:rPr>
                <w:rStyle w:val="itemextrafieldsvalue"/>
                <w:szCs w:val="20"/>
              </w:rPr>
              <w:t>-</w:t>
            </w:r>
            <w:r w:rsidRPr="00875994">
              <w:rPr>
                <w:rStyle w:val="itemextrafieldsvalue"/>
                <w:szCs w:val="20"/>
                <w:lang w:val="fr-CA"/>
              </w:rPr>
              <w:t>3332.</w:t>
            </w:r>
          </w:p>
        </w:tc>
        <w:tc>
          <w:tcPr>
            <w:tcW w:w="1061" w:type="dxa"/>
            <w:gridSpan w:val="2"/>
            <w:vAlign w:val="center"/>
          </w:tcPr>
          <w:p w14:paraId="23C724DE" w14:textId="77777777" w:rsidR="00F9690F" w:rsidRPr="0082465B" w:rsidRDefault="00F9690F" w:rsidP="006204C3">
            <w:pPr>
              <w:jc w:val="center"/>
              <w:rPr>
                <w:lang w:val="ru-RU"/>
              </w:rPr>
            </w:pPr>
            <w:r w:rsidRPr="00B039C3">
              <w:rPr>
                <w:b/>
                <w:lang w:val="en-US"/>
              </w:rPr>
              <w:t>M</w:t>
            </w:r>
            <w:r>
              <w:rPr>
                <w:b/>
                <w:lang w:val="en-US"/>
              </w:rPr>
              <w:t>51</w:t>
            </w:r>
          </w:p>
        </w:tc>
      </w:tr>
    </w:tbl>
    <w:p w14:paraId="4AEAC69A" w14:textId="77777777" w:rsidR="00EA0590" w:rsidRPr="005D659E" w:rsidRDefault="00EA0590" w:rsidP="00EA059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7986"/>
        <w:gridCol w:w="996"/>
        <w:gridCol w:w="1266"/>
      </w:tblGrid>
      <w:tr w:rsidR="00EA0590" w14:paraId="2C3747B6" w14:textId="77777777" w:rsidTr="00B72575">
        <w:tc>
          <w:tcPr>
            <w:tcW w:w="10632" w:type="dxa"/>
            <w:gridSpan w:val="4"/>
            <w:shd w:val="clear" w:color="auto" w:fill="D9D9D9"/>
          </w:tcPr>
          <w:p w14:paraId="2BD1D724" w14:textId="77777777" w:rsidR="00EA0590" w:rsidRPr="00AF65AC" w:rsidRDefault="00EA0590" w:rsidP="003C72C8">
            <w:pPr>
              <w:jc w:val="center"/>
            </w:pPr>
            <w:r w:rsidRPr="00AF65AC">
              <w:rPr>
                <w:b/>
                <w:sz w:val="18"/>
                <w:szCs w:val="18"/>
                <w:lang w:val="sr-Cyrl-CS"/>
              </w:rPr>
              <w:t>Менторства у последње три године</w:t>
            </w:r>
          </w:p>
        </w:tc>
      </w:tr>
      <w:tr w:rsidR="00EA0590" w14:paraId="024E253F" w14:textId="77777777" w:rsidTr="00B72575">
        <w:tc>
          <w:tcPr>
            <w:tcW w:w="384" w:type="dxa"/>
            <w:shd w:val="clear" w:color="auto" w:fill="D9D9D9"/>
            <w:vAlign w:val="center"/>
          </w:tcPr>
          <w:p w14:paraId="5FC6DD78" w14:textId="77777777" w:rsidR="00EA0590" w:rsidRPr="005D659E" w:rsidRDefault="00EA0590" w:rsidP="003C72C8">
            <w:pPr>
              <w:spacing w:before="100" w:beforeAutospacing="1" w:after="100" w:afterAutospacing="1" w:line="157" w:lineRule="atLeast"/>
              <w:ind w:left="-102" w:right="-105"/>
            </w:pPr>
            <w:r w:rsidRPr="005D659E">
              <w:rPr>
                <w:b/>
                <w:sz w:val="18"/>
                <w:szCs w:val="18"/>
                <w:lang w:val="ru-RU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</w:rPr>
              <w:t>б</w:t>
            </w:r>
            <w:r w:rsidRPr="005D659E">
              <w:rPr>
                <w:b/>
                <w:sz w:val="18"/>
                <w:szCs w:val="18"/>
                <w:lang w:val="ru-RU"/>
              </w:rPr>
              <w:t>р.</w:t>
            </w:r>
          </w:p>
        </w:tc>
        <w:tc>
          <w:tcPr>
            <w:tcW w:w="7986" w:type="dxa"/>
            <w:shd w:val="clear" w:color="auto" w:fill="D9D9D9"/>
            <w:vAlign w:val="center"/>
          </w:tcPr>
          <w:p w14:paraId="6B2B21F4" w14:textId="77777777" w:rsidR="00EA0590" w:rsidRPr="00B91B4C" w:rsidRDefault="00EA0590" w:rsidP="003C72C8">
            <w:pPr>
              <w:spacing w:before="100" w:beforeAutospacing="1" w:after="100" w:afterAutospacing="1" w:line="157" w:lineRule="atLeast"/>
              <w:jc w:val="center"/>
              <w:rPr>
                <w:highlight w:val="yellow"/>
              </w:rPr>
            </w:pPr>
            <w:r w:rsidRPr="00AF65AC">
              <w:rPr>
                <w:b/>
                <w:sz w:val="18"/>
                <w:szCs w:val="18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6" w:type="dxa"/>
            <w:shd w:val="clear" w:color="auto" w:fill="D9D9D9"/>
            <w:vAlign w:val="center"/>
          </w:tcPr>
          <w:p w14:paraId="70C273EA" w14:textId="77777777" w:rsidR="00EA0590" w:rsidRPr="00AF65AC" w:rsidRDefault="00EA0590" w:rsidP="003C72C8">
            <w:pPr>
              <w:spacing w:before="100" w:beforeAutospacing="1" w:after="100" w:afterAutospacing="1" w:line="157" w:lineRule="atLeast"/>
              <w:jc w:val="center"/>
            </w:pPr>
            <w:r w:rsidRPr="00AF65AC">
              <w:rPr>
                <w:b/>
                <w:sz w:val="18"/>
                <w:szCs w:val="18"/>
              </w:rPr>
              <w:t>Датум именов.</w:t>
            </w:r>
          </w:p>
        </w:tc>
        <w:tc>
          <w:tcPr>
            <w:tcW w:w="1266" w:type="dxa"/>
            <w:shd w:val="clear" w:color="auto" w:fill="D9D9D9"/>
          </w:tcPr>
          <w:p w14:paraId="6EE5D5F6" w14:textId="77777777" w:rsidR="00EA0590" w:rsidRPr="00AF65AC" w:rsidRDefault="00EA0590" w:rsidP="003C72C8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/>
              </w:rPr>
            </w:pPr>
            <w:r w:rsidRPr="00AF65AC">
              <w:rPr>
                <w:b/>
                <w:sz w:val="18"/>
                <w:szCs w:val="18"/>
                <w:lang w:val="sr-Cyrl-CS"/>
              </w:rPr>
              <w:t>Датум одбране</w:t>
            </w:r>
          </w:p>
        </w:tc>
      </w:tr>
      <w:tr w:rsidR="00EA0590" w14:paraId="2F3EB669" w14:textId="77777777" w:rsidTr="00B72575">
        <w:tc>
          <w:tcPr>
            <w:tcW w:w="384" w:type="dxa"/>
            <w:shd w:val="clear" w:color="auto" w:fill="D9D9D9"/>
          </w:tcPr>
          <w:p w14:paraId="0AF7A480" w14:textId="77777777" w:rsidR="00EA0590" w:rsidRPr="005D659E" w:rsidRDefault="00EA0590" w:rsidP="003C72C8">
            <w:pPr>
              <w:rPr>
                <w:rFonts w:ascii="Calibri" w:hAnsi="Calibri"/>
              </w:rPr>
            </w:pPr>
            <w:r w:rsidRPr="005D659E">
              <w:rPr>
                <w:rFonts w:ascii="Calibri" w:hAnsi="Calibri"/>
              </w:rPr>
              <w:t>1.</w:t>
            </w:r>
          </w:p>
        </w:tc>
        <w:tc>
          <w:tcPr>
            <w:tcW w:w="7986" w:type="dxa"/>
            <w:shd w:val="clear" w:color="auto" w:fill="auto"/>
          </w:tcPr>
          <w:p w14:paraId="596E8856" w14:textId="77777777" w:rsidR="00EA0590" w:rsidRPr="009801D1" w:rsidRDefault="006204C3" w:rsidP="006204C3">
            <w:pPr>
              <w:jc w:val="center"/>
              <w:rPr>
                <w:highlight w:val="yellow"/>
              </w:rPr>
            </w:pPr>
            <w:r w:rsidRPr="006204C3">
              <w:t>/</w:t>
            </w:r>
          </w:p>
        </w:tc>
        <w:tc>
          <w:tcPr>
            <w:tcW w:w="996" w:type="dxa"/>
            <w:shd w:val="clear" w:color="auto" w:fill="auto"/>
          </w:tcPr>
          <w:p w14:paraId="007120CE" w14:textId="77777777" w:rsidR="00EA0590" w:rsidRPr="00AF65AC" w:rsidRDefault="00EA0590" w:rsidP="003C72C8"/>
        </w:tc>
        <w:tc>
          <w:tcPr>
            <w:tcW w:w="1266" w:type="dxa"/>
            <w:shd w:val="clear" w:color="auto" w:fill="auto"/>
          </w:tcPr>
          <w:p w14:paraId="0F0433AA" w14:textId="77777777" w:rsidR="00EA0590" w:rsidRPr="00AF65AC" w:rsidRDefault="00EA0590" w:rsidP="003C72C8"/>
        </w:tc>
      </w:tr>
      <w:tr w:rsidR="00EA0590" w14:paraId="109507EB" w14:textId="77777777" w:rsidTr="00B72575">
        <w:tc>
          <w:tcPr>
            <w:tcW w:w="384" w:type="dxa"/>
            <w:shd w:val="clear" w:color="auto" w:fill="D9D9D9"/>
          </w:tcPr>
          <w:p w14:paraId="13E89B39" w14:textId="77777777" w:rsidR="00EA0590" w:rsidRPr="005D659E" w:rsidRDefault="00EA0590" w:rsidP="003C72C8">
            <w:pPr>
              <w:rPr>
                <w:rFonts w:ascii="Calibri" w:hAnsi="Calibri"/>
              </w:rPr>
            </w:pPr>
            <w:r w:rsidRPr="005D659E">
              <w:rPr>
                <w:rFonts w:ascii="Calibri" w:hAnsi="Calibri"/>
              </w:rPr>
              <w:t>2.</w:t>
            </w:r>
          </w:p>
        </w:tc>
        <w:tc>
          <w:tcPr>
            <w:tcW w:w="7986" w:type="dxa"/>
            <w:shd w:val="clear" w:color="auto" w:fill="auto"/>
          </w:tcPr>
          <w:p w14:paraId="5D9796F6" w14:textId="77777777" w:rsidR="00EA0590" w:rsidRPr="009801D1" w:rsidRDefault="006204C3" w:rsidP="006204C3">
            <w:pPr>
              <w:jc w:val="center"/>
              <w:rPr>
                <w:highlight w:val="yellow"/>
              </w:rPr>
            </w:pPr>
            <w:r w:rsidRPr="006204C3">
              <w:t>/</w:t>
            </w:r>
          </w:p>
        </w:tc>
        <w:tc>
          <w:tcPr>
            <w:tcW w:w="996" w:type="dxa"/>
            <w:shd w:val="clear" w:color="auto" w:fill="auto"/>
          </w:tcPr>
          <w:p w14:paraId="1B8734DF" w14:textId="77777777" w:rsidR="00EA0590" w:rsidRPr="00B91B4C" w:rsidRDefault="00EA0590" w:rsidP="003C72C8">
            <w:pPr>
              <w:rPr>
                <w:highlight w:val="yellow"/>
              </w:rPr>
            </w:pPr>
          </w:p>
        </w:tc>
        <w:tc>
          <w:tcPr>
            <w:tcW w:w="1266" w:type="dxa"/>
            <w:shd w:val="clear" w:color="auto" w:fill="auto"/>
          </w:tcPr>
          <w:p w14:paraId="2D04148C" w14:textId="77777777" w:rsidR="00EA0590" w:rsidRPr="00B91B4C" w:rsidRDefault="00EA0590" w:rsidP="003C72C8">
            <w:pPr>
              <w:rPr>
                <w:highlight w:val="yellow"/>
              </w:rPr>
            </w:pPr>
          </w:p>
        </w:tc>
      </w:tr>
      <w:tr w:rsidR="00EA0590" w14:paraId="18B6BBAE" w14:textId="77777777" w:rsidTr="00B72575">
        <w:tc>
          <w:tcPr>
            <w:tcW w:w="384" w:type="dxa"/>
            <w:shd w:val="clear" w:color="auto" w:fill="D9D9D9"/>
          </w:tcPr>
          <w:p w14:paraId="405D79AB" w14:textId="77777777" w:rsidR="00EA0590" w:rsidRPr="005D659E" w:rsidRDefault="00EA0590" w:rsidP="003C72C8">
            <w:pPr>
              <w:rPr>
                <w:rFonts w:ascii="Calibri" w:hAnsi="Calibri"/>
              </w:rPr>
            </w:pPr>
            <w:r w:rsidRPr="005D659E">
              <w:rPr>
                <w:rFonts w:ascii="Calibri" w:hAnsi="Calibri"/>
              </w:rPr>
              <w:t>3.</w:t>
            </w:r>
          </w:p>
        </w:tc>
        <w:tc>
          <w:tcPr>
            <w:tcW w:w="7986" w:type="dxa"/>
            <w:shd w:val="clear" w:color="auto" w:fill="auto"/>
          </w:tcPr>
          <w:p w14:paraId="5D1170E8" w14:textId="77777777" w:rsidR="00EA0590" w:rsidRPr="009801D1" w:rsidRDefault="006204C3" w:rsidP="006204C3">
            <w:pPr>
              <w:jc w:val="center"/>
              <w:rPr>
                <w:highlight w:val="yellow"/>
              </w:rPr>
            </w:pPr>
            <w:r w:rsidRPr="006204C3">
              <w:t>/</w:t>
            </w:r>
          </w:p>
        </w:tc>
        <w:tc>
          <w:tcPr>
            <w:tcW w:w="996" w:type="dxa"/>
            <w:shd w:val="clear" w:color="auto" w:fill="auto"/>
          </w:tcPr>
          <w:p w14:paraId="012561AE" w14:textId="77777777" w:rsidR="00EA0590" w:rsidRPr="00B91B4C" w:rsidRDefault="00EA0590" w:rsidP="003C72C8">
            <w:pPr>
              <w:rPr>
                <w:highlight w:val="yellow"/>
              </w:rPr>
            </w:pPr>
          </w:p>
        </w:tc>
        <w:tc>
          <w:tcPr>
            <w:tcW w:w="1266" w:type="dxa"/>
            <w:shd w:val="clear" w:color="auto" w:fill="auto"/>
          </w:tcPr>
          <w:p w14:paraId="12210B2F" w14:textId="77777777" w:rsidR="00EA0590" w:rsidRPr="00B91B4C" w:rsidRDefault="00EA0590" w:rsidP="003C72C8">
            <w:pPr>
              <w:rPr>
                <w:highlight w:val="yellow"/>
              </w:rPr>
            </w:pPr>
          </w:p>
        </w:tc>
      </w:tr>
      <w:tr w:rsidR="00EA0590" w14:paraId="7C0796FB" w14:textId="77777777" w:rsidTr="00B72575">
        <w:tc>
          <w:tcPr>
            <w:tcW w:w="384" w:type="dxa"/>
            <w:shd w:val="clear" w:color="auto" w:fill="D9D9D9"/>
          </w:tcPr>
          <w:p w14:paraId="354ACAA1" w14:textId="77777777" w:rsidR="00EA0590" w:rsidRPr="005D659E" w:rsidRDefault="00EA0590" w:rsidP="003C72C8">
            <w:pPr>
              <w:rPr>
                <w:rFonts w:ascii="Calibri" w:hAnsi="Calibri"/>
              </w:rPr>
            </w:pPr>
            <w:r w:rsidRPr="005D659E">
              <w:rPr>
                <w:rFonts w:ascii="Calibri" w:hAnsi="Calibri"/>
              </w:rPr>
              <w:t>4.</w:t>
            </w:r>
          </w:p>
        </w:tc>
        <w:tc>
          <w:tcPr>
            <w:tcW w:w="7986" w:type="dxa"/>
            <w:shd w:val="clear" w:color="auto" w:fill="auto"/>
          </w:tcPr>
          <w:p w14:paraId="114C5E77" w14:textId="77777777" w:rsidR="00EA0590" w:rsidRPr="009801D1" w:rsidRDefault="006204C3" w:rsidP="006204C3">
            <w:pPr>
              <w:jc w:val="center"/>
              <w:rPr>
                <w:highlight w:val="yellow"/>
              </w:rPr>
            </w:pPr>
            <w:r w:rsidRPr="006204C3">
              <w:t>/</w:t>
            </w:r>
          </w:p>
        </w:tc>
        <w:tc>
          <w:tcPr>
            <w:tcW w:w="996" w:type="dxa"/>
            <w:shd w:val="clear" w:color="auto" w:fill="auto"/>
          </w:tcPr>
          <w:p w14:paraId="39D0C081" w14:textId="77777777" w:rsidR="00EA0590" w:rsidRPr="00B91B4C" w:rsidRDefault="00EA0590" w:rsidP="003C72C8">
            <w:pPr>
              <w:rPr>
                <w:highlight w:val="yellow"/>
              </w:rPr>
            </w:pPr>
          </w:p>
        </w:tc>
        <w:tc>
          <w:tcPr>
            <w:tcW w:w="1266" w:type="dxa"/>
            <w:shd w:val="clear" w:color="auto" w:fill="auto"/>
          </w:tcPr>
          <w:p w14:paraId="1875D8B7" w14:textId="77777777" w:rsidR="00EA0590" w:rsidRPr="00B91B4C" w:rsidRDefault="00EA0590" w:rsidP="003C72C8">
            <w:pPr>
              <w:rPr>
                <w:highlight w:val="yellow"/>
              </w:rPr>
            </w:pPr>
          </w:p>
        </w:tc>
      </w:tr>
    </w:tbl>
    <w:p w14:paraId="4A38055B" w14:textId="77777777" w:rsidR="00EA0590" w:rsidRPr="005D659E" w:rsidRDefault="00EA0590" w:rsidP="00EA0590">
      <w:pPr>
        <w:rPr>
          <w:vanish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81"/>
        <w:gridCol w:w="1799"/>
        <w:gridCol w:w="1080"/>
        <w:gridCol w:w="538"/>
        <w:gridCol w:w="2881"/>
        <w:gridCol w:w="1620"/>
        <w:gridCol w:w="1260"/>
        <w:gridCol w:w="540"/>
        <w:gridCol w:w="521"/>
      </w:tblGrid>
      <w:tr w:rsidR="00EA0590" w:rsidRPr="0082465B" w14:paraId="179C793E" w14:textId="77777777" w:rsidTr="003C72C8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2325CBB" w14:textId="77777777" w:rsidR="00EA0590" w:rsidRPr="0082465B" w:rsidRDefault="00EA0590" w:rsidP="003C72C8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11C689F" w14:textId="77777777" w:rsidR="00EA0590" w:rsidRPr="006204C3" w:rsidRDefault="00EA0590" w:rsidP="003C72C8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6204C3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9E66ACF" w14:textId="77777777" w:rsidR="00EA0590" w:rsidRPr="0082465B" w:rsidRDefault="00EA0590" w:rsidP="003C72C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55A6E7D9" w14:textId="77777777" w:rsidTr="003C72C8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auto"/>
            <w:vAlign w:val="center"/>
          </w:tcPr>
          <w:p w14:paraId="68E404AE" w14:textId="77777777" w:rsidR="00CD315D" w:rsidRDefault="00CD315D" w:rsidP="00F118A0">
            <w:pPr>
              <w:spacing w:line="256" w:lineRule="auto"/>
            </w:pPr>
          </w:p>
          <w:p w14:paraId="0E947A27" w14:textId="77777777" w:rsidR="009755C6" w:rsidRDefault="00F118A0" w:rsidP="00F118A0">
            <w:pPr>
              <w:spacing w:line="256" w:lineRule="auto"/>
            </w:pPr>
            <w:r>
              <w:t xml:space="preserve">Према </w:t>
            </w:r>
            <w:r w:rsidRPr="005B478E">
              <w:t>условима</w:t>
            </w:r>
            <w:r>
              <w:t xml:space="preserve"> који су</w:t>
            </w:r>
            <w:r w:rsidRPr="005B478E">
              <w:t xml:space="preserve"> дефинисани члан</w:t>
            </w:r>
            <w:r>
              <w:t>ом</w:t>
            </w:r>
            <w:r w:rsidRPr="005B478E">
              <w:t xml:space="preserve"> 13 Правилника о поступку припреме и условима за одбрану докторске дисертације Универзитета у Нишу (СНУ бр. 8/16-01-005/18-014, од 4. 6. 2018. године), </w:t>
            </w:r>
            <w:r>
              <w:t xml:space="preserve">кандидат за израду </w:t>
            </w:r>
            <w:r w:rsidRPr="005B478E">
              <w:t xml:space="preserve">докторске дисертације у пољу друштвено-хуманистичких наука </w:t>
            </w:r>
            <w:r>
              <w:t>може имати ментора из реда наставника који су у</w:t>
            </w:r>
            <w:r w:rsidRPr="005B478E">
              <w:t xml:space="preserve"> последњих 10 година оствар</w:t>
            </w:r>
            <w:r>
              <w:t>или</w:t>
            </w:r>
            <w:r w:rsidRPr="005B478E">
              <w:t xml:space="preserve"> најмање 24 бода, од којих</w:t>
            </w:r>
            <w:r w:rsidR="003D777A">
              <w:t xml:space="preserve"> </w:t>
            </w:r>
            <w:r w:rsidRPr="005B478E">
              <w:t xml:space="preserve">најмање 4 бода за рад </w:t>
            </w:r>
            <w:r>
              <w:t xml:space="preserve">објављен </w:t>
            </w:r>
            <w:r w:rsidRPr="005B478E">
              <w:t>у часописима с</w:t>
            </w:r>
            <w:r>
              <w:t>а</w:t>
            </w:r>
            <w:r w:rsidRPr="005B478E">
              <w:t xml:space="preserve"> лист</w:t>
            </w:r>
            <w:r>
              <w:t>е</w:t>
            </w:r>
            <w:r w:rsidRPr="005B478E">
              <w:t xml:space="preserve"> SSCIe, SCI, SCIe, ERIH, HEINONLINE, ECOLIBRI, EconLit, или у часопису категорије М24, и најмање 20 бодова за радове </w:t>
            </w:r>
            <w:r>
              <w:t xml:space="preserve">објављене </w:t>
            </w:r>
            <w:r w:rsidRPr="005B478E">
              <w:t>у часописима кагегориј</w:t>
            </w:r>
            <w:r>
              <w:t>е</w:t>
            </w:r>
            <w:r w:rsidRPr="005B478E">
              <w:t xml:space="preserve"> М11–М14, М21–М24, М51, од чега 20% може бити и</w:t>
            </w:r>
            <w:r>
              <w:t xml:space="preserve"> из категорије М31–М34</w:t>
            </w:r>
            <w:r w:rsidR="009755C6" w:rsidRPr="009755C6">
              <w:t xml:space="preserve">. </w:t>
            </w:r>
          </w:p>
          <w:p w14:paraId="711EF611" w14:textId="77777777" w:rsidR="00CD315D" w:rsidRPr="00CD315D" w:rsidRDefault="00CD315D" w:rsidP="00F118A0">
            <w:pPr>
              <w:spacing w:line="256" w:lineRule="auto"/>
            </w:pPr>
          </w:p>
          <w:p w14:paraId="4BD2EA74" w14:textId="77777777" w:rsidR="00EA0590" w:rsidRDefault="009801D1" w:rsidP="00772B31">
            <w:pPr>
              <w:rPr>
                <w:lang w:val="ru-RU"/>
              </w:rPr>
            </w:pPr>
            <w:r w:rsidRPr="005B478E">
              <w:rPr>
                <w:lang w:val="ru-RU"/>
              </w:rPr>
              <w:t>Др Нермин Вучељ, ванредни професор</w:t>
            </w:r>
            <w:r>
              <w:rPr>
                <w:lang w:val="ru-RU"/>
              </w:rPr>
              <w:t xml:space="preserve"> Филозофског факултета Универзитета у Нишу</w:t>
            </w:r>
            <w:r w:rsidRPr="005B478E">
              <w:rPr>
                <w:lang w:val="ru-RU"/>
              </w:rPr>
              <w:t>, објавио је у протеклих 10 година укупно 4 рада у часописима категорије М24, 11 радова у часописима категориј</w:t>
            </w:r>
            <w:r>
              <w:rPr>
                <w:lang w:val="ru-RU"/>
              </w:rPr>
              <w:t>е</w:t>
            </w:r>
            <w:r w:rsidRPr="005B478E">
              <w:rPr>
                <w:lang w:val="ru-RU"/>
              </w:rPr>
              <w:t xml:space="preserve"> М51 и 6 радова у тематским зборницима категорије М14, и </w:t>
            </w:r>
            <w:r>
              <w:rPr>
                <w:lang w:val="ru-RU"/>
              </w:rPr>
              <w:t>св</w:t>
            </w:r>
            <w:r w:rsidRPr="005B478E">
              <w:rPr>
                <w:lang w:val="ru-RU"/>
              </w:rPr>
              <w:t>их 20 објављених радова припада</w:t>
            </w:r>
            <w:r>
              <w:rPr>
                <w:lang w:val="ru-RU"/>
              </w:rPr>
              <w:t>ју</w:t>
            </w:r>
            <w:r w:rsidRPr="005B478E">
              <w:rPr>
                <w:lang w:val="ru-RU"/>
              </w:rPr>
              <w:t xml:space="preserve"> ужој научној области Француска књижевност и култура, из које је </w:t>
            </w:r>
            <w:r>
              <w:rPr>
                <w:lang w:val="ru-RU"/>
              </w:rPr>
              <w:t xml:space="preserve">и </w:t>
            </w:r>
            <w:r w:rsidRPr="005B478E">
              <w:rPr>
                <w:lang w:val="ru-RU"/>
              </w:rPr>
              <w:t>тема докторске дисертације</w:t>
            </w:r>
            <w:r>
              <w:rPr>
                <w:lang w:val="ru-RU"/>
              </w:rPr>
              <w:t xml:space="preserve"> за коју је предложен за ментора,</w:t>
            </w:r>
            <w:r w:rsidRPr="005B478E">
              <w:rPr>
                <w:lang w:val="ru-RU"/>
              </w:rPr>
              <w:t xml:space="preserve"> а о</w:t>
            </w:r>
            <w:r>
              <w:rPr>
                <w:lang w:val="ru-RU"/>
              </w:rPr>
              <w:t>д</w:t>
            </w:r>
            <w:r w:rsidRPr="005B478E">
              <w:rPr>
                <w:lang w:val="ru-RU"/>
              </w:rPr>
              <w:t xml:space="preserve"> 20 </w:t>
            </w:r>
            <w:r>
              <w:rPr>
                <w:lang w:val="ru-RU"/>
              </w:rPr>
              <w:t xml:space="preserve">поменутих </w:t>
            </w:r>
            <w:r w:rsidRPr="005B478E">
              <w:rPr>
                <w:lang w:val="ru-RU"/>
              </w:rPr>
              <w:t>радова 13 припада научној дисциплини Француска књижевност просветитељства кој</w:t>
            </w:r>
            <w:r>
              <w:rPr>
                <w:lang w:val="ru-RU"/>
              </w:rPr>
              <w:t>ој припада</w:t>
            </w:r>
            <w:r w:rsidRPr="005B478E">
              <w:rPr>
                <w:lang w:val="ru-RU"/>
              </w:rPr>
              <w:t xml:space="preserve"> предложена тема докторске дисертације.</w:t>
            </w:r>
            <w:r w:rsidR="00F118A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Дакле</w:t>
            </w:r>
            <w:r w:rsidRPr="005B478E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проф. </w:t>
            </w:r>
            <w:r w:rsidRPr="005B478E">
              <w:rPr>
                <w:lang w:val="ru-RU"/>
              </w:rPr>
              <w:t xml:space="preserve">др Нермин Вучељ испуњава све услове </w:t>
            </w:r>
            <w:r>
              <w:rPr>
                <w:lang w:val="ru-RU"/>
              </w:rPr>
              <w:t>да кандидату буде</w:t>
            </w:r>
            <w:r w:rsidRPr="005B478E">
              <w:rPr>
                <w:lang w:val="ru-RU"/>
              </w:rPr>
              <w:t xml:space="preserve"> ментор </w:t>
            </w:r>
            <w:r>
              <w:rPr>
                <w:lang w:val="ru-RU"/>
              </w:rPr>
              <w:t>приликом израде</w:t>
            </w:r>
            <w:r w:rsidRPr="005B478E">
              <w:rPr>
                <w:lang w:val="ru-RU"/>
              </w:rPr>
              <w:t xml:space="preserve"> предложен</w:t>
            </w:r>
            <w:r>
              <w:rPr>
                <w:lang w:val="ru-RU"/>
              </w:rPr>
              <w:t>е</w:t>
            </w:r>
            <w:r w:rsidRPr="005B478E">
              <w:rPr>
                <w:lang w:val="ru-RU"/>
              </w:rPr>
              <w:t xml:space="preserve"> тем</w:t>
            </w:r>
            <w:r>
              <w:rPr>
                <w:lang w:val="ru-RU"/>
              </w:rPr>
              <w:t>е</w:t>
            </w:r>
            <w:r w:rsidRPr="005B478E">
              <w:rPr>
                <w:lang w:val="ru-RU"/>
              </w:rPr>
              <w:t xml:space="preserve"> докторске дисертације.</w:t>
            </w:r>
          </w:p>
          <w:p w14:paraId="75793CC7" w14:textId="77777777" w:rsidR="00CD315D" w:rsidRDefault="00CD315D" w:rsidP="00772B31">
            <w:pPr>
              <w:rPr>
                <w:i/>
                <w:color w:val="808080"/>
                <w:sz w:val="20"/>
                <w:szCs w:val="20"/>
                <w:lang w:val="ru-RU"/>
              </w:rPr>
            </w:pPr>
          </w:p>
          <w:p w14:paraId="471D99ED" w14:textId="77777777" w:rsidR="00CD315D" w:rsidRPr="0082465B" w:rsidRDefault="00CD315D" w:rsidP="00772B31">
            <w:pPr>
              <w:rPr>
                <w:i/>
                <w:color w:val="808080"/>
                <w:sz w:val="20"/>
                <w:szCs w:val="20"/>
                <w:lang w:val="ru-RU"/>
              </w:rPr>
            </w:pPr>
          </w:p>
        </w:tc>
      </w:tr>
      <w:tr w:rsidR="00EA0590" w:rsidRPr="0082465B" w14:paraId="079F437F" w14:textId="77777777" w:rsidTr="003C72C8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7F1945FF" w14:textId="77777777" w:rsidR="00EA0590" w:rsidRPr="0082465B" w:rsidRDefault="00EA0590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659AD8ED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3ED1C5B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3A6591E5" w14:textId="77777777" w:rsidR="00EA0590" w:rsidRPr="006204C3" w:rsidRDefault="006204C3" w:rsidP="003C72C8">
            <w:r w:rsidRPr="006204C3">
              <w:rPr>
                <w:lang w:val="ru-RU"/>
              </w:rPr>
              <w:t xml:space="preserve">ЕТИЧКА РАЗМАТРАЊА У ДИДРООВОМ КЊИЖЕВНОМ ДЕЛУ </w:t>
            </w:r>
          </w:p>
        </w:tc>
      </w:tr>
      <w:tr w:rsidR="00EA0590" w:rsidRPr="0082465B" w14:paraId="61257630" w14:textId="77777777" w:rsidTr="003C72C8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80FB08" w14:textId="77777777" w:rsidR="00EA0590" w:rsidRPr="0082465B" w:rsidRDefault="00EA0590" w:rsidP="003C72C8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6F2B09D7" w14:textId="77777777" w:rsidR="00EA0590" w:rsidRPr="006204C3" w:rsidRDefault="006204C3" w:rsidP="003C72C8">
            <w:r>
              <w:t>Друштвено-хуманистичке науке</w:t>
            </w:r>
          </w:p>
        </w:tc>
      </w:tr>
      <w:tr w:rsidR="00EA0590" w:rsidRPr="0082465B" w14:paraId="1EF5560B" w14:textId="77777777" w:rsidTr="003C72C8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340931" w14:textId="77777777" w:rsidR="00EA0590" w:rsidRPr="0082465B" w:rsidRDefault="00EA0590" w:rsidP="003C72C8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6851A35F" w14:textId="77777777" w:rsidR="00EA0590" w:rsidRPr="0082465B" w:rsidRDefault="006204C3" w:rsidP="003C72C8">
            <w:pPr>
              <w:rPr>
                <w:lang w:val="ru-RU"/>
              </w:rPr>
            </w:pPr>
            <w:r>
              <w:rPr>
                <w:lang w:val="ru-RU"/>
              </w:rPr>
              <w:t xml:space="preserve">Филолошке науке </w:t>
            </w:r>
          </w:p>
        </w:tc>
      </w:tr>
      <w:tr w:rsidR="00EA0590" w:rsidRPr="0082465B" w14:paraId="0D2865E2" w14:textId="77777777" w:rsidTr="003C72C8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4F2B85E" w14:textId="77777777" w:rsidR="00EA0590" w:rsidRPr="0082465B" w:rsidRDefault="00EA0590" w:rsidP="003C72C8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2E97B5DB" w14:textId="77777777" w:rsidR="00EA0590" w:rsidRPr="0082465B" w:rsidRDefault="006204C3" w:rsidP="003C72C8">
            <w:pPr>
              <w:rPr>
                <w:lang w:val="ru-RU"/>
              </w:rPr>
            </w:pPr>
            <w:r>
              <w:rPr>
                <w:lang w:val="ru-RU"/>
              </w:rPr>
              <w:t>Француска књижевност и култура</w:t>
            </w:r>
          </w:p>
        </w:tc>
      </w:tr>
      <w:tr w:rsidR="00EA0590" w:rsidRPr="0082465B" w14:paraId="2DC9C7F4" w14:textId="77777777" w:rsidTr="003C72C8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1D941FA" w14:textId="77777777" w:rsidR="00EA0590" w:rsidRPr="0082465B" w:rsidRDefault="00EA0590" w:rsidP="003C72C8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66C4FA78" w14:textId="77777777" w:rsidR="00EA0590" w:rsidRPr="0082465B" w:rsidRDefault="006204C3" w:rsidP="003C72C8">
            <w:pPr>
              <w:rPr>
                <w:lang w:val="ru-RU"/>
              </w:rPr>
            </w:pPr>
            <w:r>
              <w:rPr>
                <w:lang w:val="ru-RU"/>
              </w:rPr>
              <w:t>Француска књижевност просветитељства</w:t>
            </w:r>
          </w:p>
        </w:tc>
      </w:tr>
      <w:tr w:rsidR="00EA0590" w:rsidRPr="0082465B" w14:paraId="11C930C6" w14:textId="77777777" w:rsidTr="003C72C8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3108A6DF" w14:textId="77777777" w:rsidR="00EA0590" w:rsidRPr="0082465B" w:rsidRDefault="00EA0590" w:rsidP="003C72C8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1.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33F67A93" w14:textId="77777777" w:rsidR="00EA0590" w:rsidRPr="0082465B" w:rsidRDefault="00EA0590" w:rsidP="003C72C8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2F213D70" w14:textId="77777777" w:rsidTr="003C72C8">
        <w:trPr>
          <w:trHeight w:val="567"/>
          <w:jc w:val="center"/>
        </w:trPr>
        <w:tc>
          <w:tcPr>
            <w:tcW w:w="10786" w:type="dxa"/>
            <w:gridSpan w:val="10"/>
          </w:tcPr>
          <w:p w14:paraId="6E60C776" w14:textId="77777777" w:rsidR="00DD3235" w:rsidRDefault="00DD3235" w:rsidP="00F455EA"/>
          <w:p w14:paraId="11D0E82A" w14:textId="77777777" w:rsidR="00F118A0" w:rsidRPr="000A2AEB" w:rsidRDefault="00F118A0" w:rsidP="00F118A0">
            <w:pPr>
              <w:spacing w:line="256" w:lineRule="auto"/>
            </w:pPr>
            <w:r w:rsidRPr="005B478E">
              <w:t xml:space="preserve">Кандидат </w:t>
            </w:r>
            <w:r>
              <w:t xml:space="preserve">МА </w:t>
            </w:r>
            <w:r w:rsidRPr="005B478E">
              <w:t xml:space="preserve">Милан </w:t>
            </w:r>
            <w:r>
              <w:t xml:space="preserve">Н. </w:t>
            </w:r>
            <w:r w:rsidRPr="005B478E">
              <w:t>Јањић подне</w:t>
            </w:r>
            <w:r>
              <w:t>о је</w:t>
            </w:r>
            <w:r w:rsidRPr="005B478E">
              <w:t xml:space="preserve"> пријав</w:t>
            </w:r>
            <w:r>
              <w:t>у</w:t>
            </w:r>
            <w:r w:rsidRPr="005B478E">
              <w:t xml:space="preserve"> (Образац Д1 – Захтев за одобрење теме докторске дисертације)</w:t>
            </w:r>
            <w:r>
              <w:t xml:space="preserve"> у којој је</w:t>
            </w:r>
            <w:r w:rsidRPr="005B478E">
              <w:t xml:space="preserve"> на јасан, прецизан и подробно образложен начин</w:t>
            </w:r>
            <w:r w:rsidR="00B06B59">
              <w:t xml:space="preserve"> </w:t>
            </w:r>
            <w:r w:rsidRPr="005B478E">
              <w:t xml:space="preserve">изложио предмет теме </w:t>
            </w:r>
            <w:r>
              <w:t xml:space="preserve">будуће </w:t>
            </w:r>
            <w:r w:rsidRPr="005B478E">
              <w:t>докторске дисертације</w:t>
            </w:r>
            <w:r>
              <w:t>.</w:t>
            </w:r>
            <w:r w:rsidR="00B06B59">
              <w:t xml:space="preserve"> </w:t>
            </w:r>
            <w:r>
              <w:t>П</w:t>
            </w:r>
            <w:r w:rsidRPr="005B478E">
              <w:t>редмет</w:t>
            </w:r>
            <w:r>
              <w:t xml:space="preserve"> тог</w:t>
            </w:r>
            <w:r w:rsidRPr="005B478E">
              <w:t xml:space="preserve"> научног истраживања чин</w:t>
            </w:r>
            <w:r>
              <w:t>ић</w:t>
            </w:r>
            <w:r w:rsidRPr="005B478E">
              <w:t>е етичка разматрања у Дидроовом књижевном делу</w:t>
            </w:r>
            <w:r>
              <w:t>,</w:t>
            </w:r>
            <w:r w:rsidRPr="005B478E">
              <w:t xml:space="preserve"> која ће бити анализ</w:t>
            </w:r>
            <w:r>
              <w:t>ирана</w:t>
            </w:r>
            <w:r w:rsidR="00B06B59">
              <w:t xml:space="preserve"> </w:t>
            </w:r>
            <w:r>
              <w:t>са циљем да се</w:t>
            </w:r>
            <w:r w:rsidRPr="005B478E">
              <w:t xml:space="preserve"> систематиз</w:t>
            </w:r>
            <w:r>
              <w:t>ују</w:t>
            </w:r>
            <w:r w:rsidRPr="005B478E">
              <w:t xml:space="preserve"> начела дидроовске етике.</w:t>
            </w:r>
          </w:p>
          <w:p w14:paraId="1667551F" w14:textId="77777777" w:rsidR="00F118A0" w:rsidRPr="0092503E" w:rsidRDefault="00F118A0" w:rsidP="00F118A0">
            <w:pPr>
              <w:spacing w:line="256" w:lineRule="auto"/>
            </w:pPr>
          </w:p>
          <w:p w14:paraId="15395324" w14:textId="77777777" w:rsidR="00F118A0" w:rsidRPr="005B478E" w:rsidRDefault="00F118A0" w:rsidP="00F118A0">
            <w:pPr>
              <w:spacing w:line="256" w:lineRule="auto"/>
            </w:pPr>
            <w:r w:rsidRPr="005B478E">
              <w:t>Корпус у планираној докторској дисертацији чин</w:t>
            </w:r>
            <w:r>
              <w:t>ић</w:t>
            </w:r>
            <w:r w:rsidRPr="005B478E">
              <w:t>е сва Дидроова поетска тј. књижевно-фикционална дела, у која спадају следећи жанрови у којима се овај француски просветитељ огледао: прича, роман, дијалошка сатира, грађанска драма, дијалошка расправа. Будући да у 18. веку између књижевног</w:t>
            </w:r>
            <w:r>
              <w:t>,</w:t>
            </w:r>
            <w:r w:rsidRPr="005B478E">
              <w:t xml:space="preserve"> као чисто фикционално-уметничког стварања, и философског, као теоријског разматрања, не постоје јасне ни</w:t>
            </w:r>
            <w:r>
              <w:t>ти</w:t>
            </w:r>
            <w:r w:rsidRPr="005B478E">
              <w:t xml:space="preserve"> чврсте границе</w:t>
            </w:r>
            <w:r>
              <w:t>,</w:t>
            </w:r>
            <w:r w:rsidRPr="005B478E">
              <w:t xml:space="preserve"> него да се, напротив, философске теме често разматрају кроз чисто књижевни поступак</w:t>
            </w:r>
            <w:r>
              <w:t>,</w:t>
            </w:r>
            <w:r w:rsidRPr="005B478E">
              <w:t xml:space="preserve"> као приповедна ситуација или полемички дијалог наводно пренет из стварности, </w:t>
            </w:r>
            <w:r>
              <w:t xml:space="preserve">разлог је штосе </w:t>
            </w:r>
            <w:r w:rsidRPr="005B478E">
              <w:t>одређена Дидроова дела</w:t>
            </w:r>
            <w:r w:rsidR="003D777A">
              <w:t xml:space="preserve"> </w:t>
            </w:r>
            <w:r w:rsidRPr="005B478E">
              <w:t xml:space="preserve">налазе на граници између философије и књижевности, </w:t>
            </w:r>
            <w:r>
              <w:t xml:space="preserve">те </w:t>
            </w:r>
            <w:r w:rsidRPr="005B478E">
              <w:t>се подједнако могу сврста</w:t>
            </w:r>
            <w:r>
              <w:t>ти</w:t>
            </w:r>
            <w:r w:rsidRPr="005B478E">
              <w:t xml:space="preserve"> и у философске списе и у књижев</w:t>
            </w:r>
            <w:r>
              <w:t>н</w:t>
            </w:r>
            <w:r w:rsidRPr="005B478E">
              <w:t>и опус. Тако с</w:t>
            </w:r>
            <w:r>
              <w:t>у</w:t>
            </w:r>
            <w:r w:rsidRPr="005B478E">
              <w:t xml:space="preserve"> и у издањима сабраних дела Денија Дидроа по тематским томовима неки списи код </w:t>
            </w:r>
            <w:r>
              <w:t>по</w:t>
            </w:r>
            <w:r w:rsidRPr="005B478E">
              <w:t>једних приређивача с</w:t>
            </w:r>
            <w:r>
              <w:t>врстани</w:t>
            </w:r>
            <w:r w:rsidRPr="005B478E">
              <w:t xml:space="preserve"> у том посвећен философији</w:t>
            </w:r>
            <w:r>
              <w:t>,</w:t>
            </w:r>
            <w:r w:rsidR="00B06B59">
              <w:t xml:space="preserve"> </w:t>
            </w:r>
            <w:r>
              <w:t>док се</w:t>
            </w:r>
            <w:r w:rsidRPr="005B478E">
              <w:t xml:space="preserve"> код других </w:t>
            </w:r>
            <w:r>
              <w:t>налазе</w:t>
            </w:r>
            <w:r w:rsidR="003D777A">
              <w:t xml:space="preserve"> </w:t>
            </w:r>
            <w:r w:rsidRPr="005B478E">
              <w:t>у том</w:t>
            </w:r>
            <w:r>
              <w:t>у</w:t>
            </w:r>
            <w:r w:rsidRPr="005B478E">
              <w:t xml:space="preserve"> посвећен</w:t>
            </w:r>
            <w:r>
              <w:t>ом</w:t>
            </w:r>
            <w:r w:rsidRPr="005B478E">
              <w:t xml:space="preserve"> књижевности, а неретко се и сами приређивачи налазе пред дилемом како</w:t>
            </w:r>
            <w:r>
              <w:t xml:space="preserve"> да</w:t>
            </w:r>
            <w:r w:rsidRPr="005B478E">
              <w:t xml:space="preserve"> их класифик</w:t>
            </w:r>
            <w:r>
              <w:t>ују</w:t>
            </w:r>
            <w:r w:rsidRPr="005B478E">
              <w:t>. Стога</w:t>
            </w:r>
            <w:r>
              <w:t xml:space="preserve"> ћеи </w:t>
            </w:r>
            <w:r w:rsidRPr="005B478E">
              <w:t>у овој дисертацији</w:t>
            </w:r>
            <w:r>
              <w:t>, у</w:t>
            </w:r>
            <w:r w:rsidRPr="005B478E">
              <w:t xml:space="preserve"> кој</w:t>
            </w:r>
            <w:r>
              <w:t>ој</w:t>
            </w:r>
            <w:r w:rsidR="003D777A">
              <w:t xml:space="preserve"> </w:t>
            </w:r>
            <w:r>
              <w:t>ће се</w:t>
            </w:r>
            <w:r w:rsidR="003D777A">
              <w:t xml:space="preserve"> </w:t>
            </w:r>
            <w:r w:rsidRPr="005B478E">
              <w:t>изучава</w:t>
            </w:r>
            <w:r>
              <w:t>ти</w:t>
            </w:r>
            <w:r w:rsidRPr="005B478E">
              <w:t xml:space="preserve"> етичка разматрања у Дидроовом књижевном делу</w:t>
            </w:r>
            <w:r>
              <w:t>,</w:t>
            </w:r>
            <w:r w:rsidRPr="005B478E">
              <w:t xml:space="preserve"> би</w:t>
            </w:r>
            <w:r>
              <w:t>ти</w:t>
            </w:r>
            <w:r w:rsidR="00B06B59">
              <w:t xml:space="preserve"> </w:t>
            </w:r>
            <w:r>
              <w:t>разматрани и</w:t>
            </w:r>
            <w:r w:rsidRPr="005B478E">
              <w:t xml:space="preserve"> списи који могу носити двојну одредницу</w:t>
            </w:r>
            <w:r>
              <w:t>:</w:t>
            </w:r>
            <w:r w:rsidRPr="005B478E">
              <w:t xml:space="preserve"> философија и књижевност. </w:t>
            </w:r>
          </w:p>
          <w:p w14:paraId="53374D7D" w14:textId="77777777" w:rsidR="00F118A0" w:rsidRPr="005B478E" w:rsidRDefault="00F118A0" w:rsidP="00F118A0">
            <w:pPr>
              <w:spacing w:line="256" w:lineRule="auto"/>
            </w:pPr>
          </w:p>
          <w:p w14:paraId="0BA4A435" w14:textId="77777777" w:rsidR="00F118A0" w:rsidRPr="005B478E" w:rsidRDefault="00F118A0" w:rsidP="00F118A0">
            <w:pPr>
              <w:spacing w:line="256" w:lineRule="auto"/>
            </w:pPr>
            <w:r w:rsidRPr="005B478E">
              <w:t xml:space="preserve">Тако ће књижевни корпус за разматрање научне теме ове дисертације чинити следећа дела: </w:t>
            </w:r>
            <w:r w:rsidRPr="005B478E">
              <w:rPr>
                <w:i/>
              </w:rPr>
              <w:t>Индискретни драгуљи</w:t>
            </w:r>
            <w:r w:rsidRPr="005B478E">
              <w:t xml:space="preserve"> (</w:t>
            </w:r>
            <w:r w:rsidRPr="005B478E">
              <w:rPr>
                <w:i/>
              </w:rPr>
              <w:t>Les Bijoux indiscrets</w:t>
            </w:r>
            <w:r w:rsidRPr="005B478E">
              <w:t xml:space="preserve">), </w:t>
            </w:r>
            <w:r w:rsidRPr="005B478E">
              <w:rPr>
                <w:i/>
              </w:rPr>
              <w:t>Редовница</w:t>
            </w:r>
            <w:r w:rsidRPr="005B478E">
              <w:t xml:space="preserve"> (</w:t>
            </w:r>
            <w:r w:rsidRPr="005B478E">
              <w:rPr>
                <w:i/>
              </w:rPr>
              <w:t>La Religieuse</w:t>
            </w:r>
            <w:r w:rsidRPr="005B478E">
              <w:t xml:space="preserve">), </w:t>
            </w:r>
            <w:r w:rsidRPr="005B478E">
              <w:rPr>
                <w:i/>
              </w:rPr>
              <w:t>Фаталиста Жак и његов господар</w:t>
            </w:r>
            <w:r w:rsidRPr="005B478E">
              <w:t xml:space="preserve"> (</w:t>
            </w:r>
            <w:r w:rsidRPr="005B478E">
              <w:rPr>
                <w:i/>
              </w:rPr>
              <w:t>Jacques le Fataliste et son maître</w:t>
            </w:r>
            <w:r w:rsidRPr="005B478E">
              <w:t xml:space="preserve">), </w:t>
            </w:r>
            <w:r w:rsidRPr="005B478E">
              <w:rPr>
                <w:i/>
              </w:rPr>
              <w:t>Рамоов синовац</w:t>
            </w:r>
            <w:r w:rsidRPr="005B478E">
              <w:t xml:space="preserve"> (</w:t>
            </w:r>
            <w:r w:rsidRPr="005B478E">
              <w:rPr>
                <w:i/>
              </w:rPr>
              <w:t>Le Neveau de Rameau</w:t>
            </w:r>
            <w:r w:rsidRPr="005B478E">
              <w:t xml:space="preserve">), </w:t>
            </w:r>
            <w:r w:rsidRPr="005B478E">
              <w:rPr>
                <w:i/>
              </w:rPr>
              <w:t>Мистификација</w:t>
            </w:r>
            <w:r w:rsidRPr="005B478E">
              <w:t xml:space="preserve"> (</w:t>
            </w:r>
            <w:r w:rsidRPr="005B478E">
              <w:rPr>
                <w:i/>
              </w:rPr>
              <w:t>Mystification</w:t>
            </w:r>
            <w:r w:rsidRPr="005B478E">
              <w:t xml:space="preserve">), </w:t>
            </w:r>
            <w:r w:rsidRPr="005B478E">
              <w:rPr>
                <w:i/>
              </w:rPr>
              <w:t>Два пријатеља из Бурбоне</w:t>
            </w:r>
            <w:r w:rsidRPr="005B478E">
              <w:t xml:space="preserve"> (</w:t>
            </w:r>
            <w:r w:rsidRPr="005B478E">
              <w:rPr>
                <w:i/>
              </w:rPr>
              <w:t>Les deux amis de Bourbonne</w:t>
            </w:r>
            <w:r w:rsidRPr="005B478E">
              <w:t xml:space="preserve">), </w:t>
            </w:r>
            <w:r w:rsidRPr="005B478E">
              <w:rPr>
                <w:i/>
              </w:rPr>
              <w:t>Разговор оца с децом</w:t>
            </w:r>
            <w:r w:rsidRPr="005B478E">
              <w:t xml:space="preserve"> (</w:t>
            </w:r>
            <w:r w:rsidRPr="005B478E">
              <w:rPr>
                <w:i/>
              </w:rPr>
              <w:t>Entretien d’un père avec ses enfants</w:t>
            </w:r>
            <w:r w:rsidRPr="005B478E">
              <w:t xml:space="preserve">), </w:t>
            </w:r>
            <w:r w:rsidRPr="005B478E">
              <w:rPr>
                <w:i/>
              </w:rPr>
              <w:t>Ово није прича</w:t>
            </w:r>
            <w:r w:rsidRPr="005B478E">
              <w:t xml:space="preserve"> (</w:t>
            </w:r>
            <w:r w:rsidRPr="005B478E">
              <w:rPr>
                <w:i/>
              </w:rPr>
              <w:t>Ceci n’est pas un conte</w:t>
            </w:r>
            <w:r w:rsidRPr="005B478E">
              <w:t xml:space="preserve">), </w:t>
            </w:r>
            <w:r w:rsidRPr="005B478E">
              <w:rPr>
                <w:i/>
              </w:rPr>
              <w:t>Госпођа де ла Карлијер</w:t>
            </w:r>
            <w:r w:rsidRPr="005B478E">
              <w:t xml:space="preserve"> (</w:t>
            </w:r>
            <w:r w:rsidRPr="005B478E">
              <w:rPr>
                <w:i/>
              </w:rPr>
              <w:t>Madame de La Carlière</w:t>
            </w:r>
            <w:r w:rsidRPr="005B478E">
              <w:t xml:space="preserve">), </w:t>
            </w:r>
            <w:r w:rsidRPr="005B478E">
              <w:rPr>
                <w:i/>
              </w:rPr>
              <w:t xml:space="preserve">Додатак </w:t>
            </w:r>
            <w:r w:rsidRPr="005B478E">
              <w:t>Бугенвиловом Путовању (</w:t>
            </w:r>
            <w:r w:rsidRPr="005B478E">
              <w:rPr>
                <w:i/>
              </w:rPr>
              <w:t xml:space="preserve">Supplément au </w:t>
            </w:r>
            <w:r w:rsidRPr="005B478E">
              <w:t xml:space="preserve">Voyage de Bougainville), </w:t>
            </w:r>
            <w:r w:rsidRPr="005B478E">
              <w:rPr>
                <w:i/>
              </w:rPr>
              <w:t>Даламберов сан</w:t>
            </w:r>
            <w:r w:rsidRPr="005B478E">
              <w:t xml:space="preserve"> (</w:t>
            </w:r>
            <w:r w:rsidRPr="005B478E">
              <w:rPr>
                <w:i/>
              </w:rPr>
              <w:t>Le Rêve de D’Alembert</w:t>
            </w:r>
            <w:r w:rsidRPr="005B478E">
              <w:t xml:space="preserve">), </w:t>
            </w:r>
            <w:r w:rsidRPr="005B478E">
              <w:rPr>
                <w:i/>
              </w:rPr>
              <w:t>Разговор философа с маршалицом од***</w:t>
            </w:r>
            <w:r w:rsidRPr="005B478E">
              <w:t xml:space="preserve"> (</w:t>
            </w:r>
            <w:r w:rsidRPr="005B478E">
              <w:rPr>
                <w:i/>
              </w:rPr>
              <w:t>Entretien d’un philosophe avec la maréchale de***</w:t>
            </w:r>
            <w:r w:rsidRPr="005B478E">
              <w:t xml:space="preserve">), </w:t>
            </w:r>
            <w:r w:rsidRPr="005B478E">
              <w:rPr>
                <w:i/>
              </w:rPr>
              <w:t>Ванбрачни син</w:t>
            </w:r>
            <w:r w:rsidRPr="005B478E">
              <w:t xml:space="preserve"> (</w:t>
            </w:r>
            <w:r w:rsidRPr="005B478E">
              <w:rPr>
                <w:i/>
              </w:rPr>
              <w:t>Le Fils naturel</w:t>
            </w:r>
            <w:r w:rsidRPr="005B478E">
              <w:t xml:space="preserve">), </w:t>
            </w:r>
            <w:r w:rsidRPr="005B478E">
              <w:rPr>
                <w:i/>
              </w:rPr>
              <w:t>Отац породице</w:t>
            </w:r>
            <w:r w:rsidRPr="005B478E">
              <w:t xml:space="preserve"> (</w:t>
            </w:r>
            <w:r w:rsidRPr="005B478E">
              <w:rPr>
                <w:i/>
              </w:rPr>
              <w:t>Le Père de famille</w:t>
            </w:r>
            <w:r w:rsidRPr="005B478E">
              <w:t xml:space="preserve">), </w:t>
            </w:r>
            <w:r w:rsidRPr="005B478E">
              <w:rPr>
                <w:i/>
              </w:rPr>
              <w:t>Је ли добар? Је ли зао?</w:t>
            </w:r>
            <w:r w:rsidRPr="005B478E">
              <w:t xml:space="preserve"> (</w:t>
            </w:r>
            <w:r w:rsidRPr="005B478E">
              <w:rPr>
                <w:i/>
              </w:rPr>
              <w:t>Est-il bon ? Est-il méchant ?</w:t>
            </w:r>
            <w:r w:rsidRPr="005B478E">
              <w:t xml:space="preserve">). </w:t>
            </w:r>
          </w:p>
          <w:p w14:paraId="463C3908" w14:textId="77777777" w:rsidR="00F118A0" w:rsidRPr="005B478E" w:rsidRDefault="00F118A0" w:rsidP="00F118A0">
            <w:pPr>
              <w:spacing w:line="256" w:lineRule="auto"/>
            </w:pPr>
          </w:p>
          <w:p w14:paraId="0F64AF17" w14:textId="77777777" w:rsidR="00F118A0" w:rsidRPr="005B478E" w:rsidRDefault="00F118A0" w:rsidP="00F118A0">
            <w:pPr>
              <w:spacing w:line="256" w:lineRule="auto"/>
            </w:pPr>
            <w:r>
              <w:t>Имајући у виду да н</w:t>
            </w:r>
            <w:r w:rsidRPr="005B478E">
              <w:t xml:space="preserve">аучно изучавање етичких питања у Дидроовом књижевном делу </w:t>
            </w:r>
            <w:r>
              <w:t xml:space="preserve">само по себи </w:t>
            </w:r>
            <w:r w:rsidRPr="005B478E">
              <w:t>захтева да се ова проблематика сагледа и у контексту Дидроове философије етике, тј. реферишући се и на чисто философске списе овог аутора</w:t>
            </w:r>
            <w:r>
              <w:t>,</w:t>
            </w:r>
            <w:r w:rsidR="00B06B59">
              <w:t xml:space="preserve"> </w:t>
            </w:r>
            <w:r>
              <w:t xml:space="preserve">тако ће кандидат </w:t>
            </w:r>
            <w:r w:rsidRPr="005B478E">
              <w:t xml:space="preserve">уз примарни истраживачки корпус, </w:t>
            </w:r>
            <w:r>
              <w:t>са</w:t>
            </w:r>
            <w:r w:rsidRPr="005B478E">
              <w:t>чи</w:t>
            </w:r>
            <w:r>
              <w:t>њен од</w:t>
            </w:r>
            <w:r w:rsidRPr="005B478E">
              <w:t xml:space="preserve"> претходно овде набројан</w:t>
            </w:r>
            <w:r>
              <w:t>их</w:t>
            </w:r>
            <w:r w:rsidRPr="005B478E">
              <w:t xml:space="preserve"> књижевн</w:t>
            </w:r>
            <w:r>
              <w:t>их</w:t>
            </w:r>
            <w:r w:rsidRPr="005B478E">
              <w:t xml:space="preserve"> дела, </w:t>
            </w:r>
            <w:r>
              <w:t>проучавати и</w:t>
            </w:r>
            <w:r w:rsidRPr="005B478E">
              <w:t xml:space="preserve"> секундарни истраживачки корпус</w:t>
            </w:r>
            <w:r>
              <w:t>, који ће чинити</w:t>
            </w:r>
            <w:r w:rsidRPr="005B478E">
              <w:t xml:space="preserve"> следећ</w:t>
            </w:r>
            <w:r>
              <w:t>и</w:t>
            </w:r>
            <w:r w:rsidRPr="005B478E">
              <w:t xml:space="preserve"> философски списи: </w:t>
            </w:r>
            <w:r w:rsidRPr="005B478E">
              <w:rPr>
                <w:i/>
              </w:rPr>
              <w:t>Философске мисли</w:t>
            </w:r>
            <w:r w:rsidRPr="005B478E">
              <w:t xml:space="preserve"> (</w:t>
            </w:r>
            <w:r w:rsidRPr="005B478E">
              <w:rPr>
                <w:i/>
              </w:rPr>
              <w:t>Pensées philosophiques</w:t>
            </w:r>
            <w:r w:rsidRPr="005B478E">
              <w:t xml:space="preserve">), </w:t>
            </w:r>
            <w:r w:rsidRPr="005B478E">
              <w:rPr>
                <w:i/>
              </w:rPr>
              <w:t>О самодовољности природне религије</w:t>
            </w:r>
            <w:r w:rsidRPr="005B478E">
              <w:t xml:space="preserve"> (</w:t>
            </w:r>
            <w:r w:rsidRPr="005B478E">
              <w:rPr>
                <w:i/>
              </w:rPr>
              <w:t>De la suffisance de la religion naturelle</w:t>
            </w:r>
            <w:r w:rsidRPr="005B478E">
              <w:t xml:space="preserve">), </w:t>
            </w:r>
            <w:r w:rsidRPr="005B478E">
              <w:rPr>
                <w:i/>
              </w:rPr>
              <w:t>Скептикова шетња</w:t>
            </w:r>
            <w:r w:rsidRPr="005B478E">
              <w:t xml:space="preserve"> (</w:t>
            </w:r>
            <w:r w:rsidRPr="005B478E">
              <w:rPr>
                <w:i/>
              </w:rPr>
              <w:t>La promenade du sceptique</w:t>
            </w:r>
            <w:r w:rsidRPr="005B478E">
              <w:t xml:space="preserve">), </w:t>
            </w:r>
            <w:r w:rsidRPr="005B478E">
              <w:rPr>
                <w:i/>
              </w:rPr>
              <w:t>Писмо о слепима на употребу онима који виде</w:t>
            </w:r>
            <w:r w:rsidRPr="005B478E">
              <w:t xml:space="preserve"> (</w:t>
            </w:r>
            <w:r w:rsidRPr="005B478E">
              <w:rPr>
                <w:i/>
              </w:rPr>
              <w:t>Lettre sur les aveugles à l’usage de ceux qui voient</w:t>
            </w:r>
            <w:r w:rsidRPr="005B478E">
              <w:t xml:space="preserve">), </w:t>
            </w:r>
            <w:r w:rsidRPr="005B478E">
              <w:rPr>
                <w:i/>
              </w:rPr>
              <w:t>Мисли о тумачењу природе</w:t>
            </w:r>
            <w:r w:rsidRPr="005B478E">
              <w:t xml:space="preserve"> (</w:t>
            </w:r>
            <w:r w:rsidRPr="005B478E">
              <w:rPr>
                <w:i/>
              </w:rPr>
              <w:t>Pensées sur l’interprétation de la nature</w:t>
            </w:r>
            <w:r w:rsidRPr="005B478E">
              <w:t xml:space="preserve">), </w:t>
            </w:r>
            <w:r w:rsidRPr="005B478E">
              <w:rPr>
                <w:i/>
              </w:rPr>
              <w:t>Побијање Хелвеција</w:t>
            </w:r>
            <w:r w:rsidRPr="005B478E">
              <w:t xml:space="preserve"> (</w:t>
            </w:r>
            <w:r w:rsidRPr="005B478E">
              <w:rPr>
                <w:i/>
              </w:rPr>
              <w:t>Réfutation d’Helvétius</w:t>
            </w:r>
            <w:r w:rsidRPr="005B478E">
              <w:t xml:space="preserve">), </w:t>
            </w:r>
            <w:r w:rsidRPr="005B478E">
              <w:rPr>
                <w:i/>
              </w:rPr>
              <w:t>Есеј о владавини Клаудија и Нерона</w:t>
            </w:r>
            <w:r w:rsidRPr="005B478E">
              <w:t xml:space="preserve"> (</w:t>
            </w:r>
            <w:r w:rsidRPr="005B478E">
              <w:rPr>
                <w:i/>
              </w:rPr>
              <w:t>Essai sur les règnes de Claude et de Néron</w:t>
            </w:r>
            <w:r w:rsidRPr="005B478E">
              <w:t xml:space="preserve">). </w:t>
            </w:r>
          </w:p>
          <w:p w14:paraId="249DCE43" w14:textId="77777777" w:rsidR="00F118A0" w:rsidRPr="005B478E" w:rsidRDefault="00F118A0" w:rsidP="00F118A0">
            <w:pPr>
              <w:spacing w:line="256" w:lineRule="auto"/>
            </w:pPr>
          </w:p>
          <w:p w14:paraId="54FEB010" w14:textId="77777777" w:rsidR="00F118A0" w:rsidRPr="005B478E" w:rsidRDefault="00F118A0" w:rsidP="00F118A0">
            <w:pPr>
              <w:spacing w:line="256" w:lineRule="auto"/>
              <w:rPr>
                <w:highlight w:val="yellow"/>
              </w:rPr>
            </w:pPr>
            <w:r w:rsidRPr="005B478E">
              <w:t xml:space="preserve">Поред </w:t>
            </w:r>
            <w:r>
              <w:t xml:space="preserve">свега </w:t>
            </w:r>
            <w:r w:rsidRPr="005B478E">
              <w:t xml:space="preserve">претходно наведеног, </w:t>
            </w:r>
            <w:r>
              <w:t xml:space="preserve">а </w:t>
            </w:r>
            <w:r w:rsidRPr="005B478E">
              <w:t xml:space="preserve">што је и кандидат </w:t>
            </w:r>
            <w:r>
              <w:t xml:space="preserve">МА </w:t>
            </w:r>
            <w:r w:rsidRPr="005B478E">
              <w:t xml:space="preserve">Милан Н. Јањић јасно образложио у својој пријави, овде додајемо да је неопходно да се у секударни корпус укључе </w:t>
            </w:r>
            <w:r>
              <w:t xml:space="preserve">још </w:t>
            </w:r>
            <w:r w:rsidRPr="005B478E">
              <w:t xml:space="preserve">и они списи који припадају философији уметности, тј. естетици, будући да су етика и естетика уско повезане, а код Дидроа се посебно естетичка начела изводе из његових етичких назора. Управо је грађанска драма, оличена кроз три позоришна комада, добила свој теоријски додатак у којем је Дидро покушао да естетизује морал који пропагира. У питању су списи </w:t>
            </w:r>
            <w:r w:rsidRPr="005B478E">
              <w:rPr>
                <w:i/>
              </w:rPr>
              <w:t xml:space="preserve">Разговори о </w:t>
            </w:r>
            <w:r w:rsidRPr="005B478E">
              <w:t>Ванбрачном сину (</w:t>
            </w:r>
            <w:r w:rsidRPr="005B478E">
              <w:rPr>
                <w:i/>
              </w:rPr>
              <w:t xml:space="preserve">Entretiens sur </w:t>
            </w:r>
            <w:r w:rsidRPr="005B478E">
              <w:t xml:space="preserve">Le Fils naturel) и </w:t>
            </w:r>
            <w:r w:rsidRPr="005B478E">
              <w:rPr>
                <w:i/>
              </w:rPr>
              <w:t>О драмској поезији</w:t>
            </w:r>
            <w:r w:rsidRPr="005B478E">
              <w:t xml:space="preserve"> (</w:t>
            </w:r>
            <w:r w:rsidRPr="005B478E">
              <w:rPr>
                <w:i/>
              </w:rPr>
              <w:t>De la poésie dramatique</w:t>
            </w:r>
            <w:r w:rsidRPr="005B478E">
              <w:t>). Ставове о моралу треба</w:t>
            </w:r>
            <w:r>
              <w:t>ло би</w:t>
            </w:r>
            <w:r w:rsidRPr="005B478E">
              <w:t xml:space="preserve"> потражити и у следећим списима: о моралној подуци у </w:t>
            </w:r>
            <w:r w:rsidRPr="005B478E">
              <w:rPr>
                <w:i/>
              </w:rPr>
              <w:t>Похвали Ричардсону</w:t>
            </w:r>
            <w:r w:rsidRPr="005B478E">
              <w:t xml:space="preserve"> (</w:t>
            </w:r>
            <w:r w:rsidRPr="005B478E">
              <w:rPr>
                <w:i/>
              </w:rPr>
              <w:t>Éloge de Richardson</w:t>
            </w:r>
            <w:r w:rsidRPr="005B478E">
              <w:t xml:space="preserve">), о етичности театра у </w:t>
            </w:r>
            <w:r w:rsidRPr="005B478E">
              <w:rPr>
                <w:i/>
              </w:rPr>
              <w:t>Парадоксу о глумцу</w:t>
            </w:r>
            <w:r w:rsidRPr="005B478E">
              <w:t xml:space="preserve"> (</w:t>
            </w:r>
            <w:r w:rsidRPr="005B478E">
              <w:rPr>
                <w:i/>
              </w:rPr>
              <w:t>Paradoxe sur le comédien</w:t>
            </w:r>
            <w:r w:rsidRPr="005B478E">
              <w:t xml:space="preserve">), о односу </w:t>
            </w:r>
            <w:r w:rsidRPr="005B478E">
              <w:rPr>
                <w:i/>
              </w:rPr>
              <w:t>лепог</w:t>
            </w:r>
            <w:r w:rsidRPr="005B478E">
              <w:t xml:space="preserve"> и </w:t>
            </w:r>
            <w:r w:rsidRPr="005B478E">
              <w:rPr>
                <w:i/>
              </w:rPr>
              <w:t>доброг</w:t>
            </w:r>
            <w:r w:rsidRPr="005B478E">
              <w:t xml:space="preserve"> и о моралном карактеру уметности у </w:t>
            </w:r>
            <w:r w:rsidRPr="005B478E">
              <w:rPr>
                <w:i/>
              </w:rPr>
              <w:t>Одвојеним мислима о сликарству, вајарству и поезији</w:t>
            </w:r>
            <w:r w:rsidRPr="005B478E">
              <w:t xml:space="preserve"> (</w:t>
            </w:r>
            <w:r w:rsidRPr="005B478E">
              <w:rPr>
                <w:i/>
              </w:rPr>
              <w:t>Pensées détachées sur la peinture, la sculpture et la poésie</w:t>
            </w:r>
            <w:r w:rsidRPr="005B478E">
              <w:t xml:space="preserve">).   </w:t>
            </w:r>
          </w:p>
          <w:p w14:paraId="49B539D7" w14:textId="77777777" w:rsidR="00F118A0" w:rsidRDefault="00F118A0" w:rsidP="00F118A0">
            <w:pPr>
              <w:spacing w:line="256" w:lineRule="auto"/>
              <w:rPr>
                <w:color w:val="FF0000"/>
              </w:rPr>
            </w:pPr>
          </w:p>
          <w:p w14:paraId="4878D9C0" w14:textId="77777777" w:rsidR="001672AC" w:rsidRPr="000F77F5" w:rsidRDefault="00F118A0" w:rsidP="00F118A0">
            <w:r>
              <w:lastRenderedPageBreak/>
              <w:t>Чињеница је да</w:t>
            </w:r>
            <w:r w:rsidRPr="00787A10">
              <w:t xml:space="preserve"> у </w:t>
            </w:r>
            <w:r>
              <w:t>свеукупној дидрологији, како</w:t>
            </w:r>
            <w:r w:rsidR="003D777A">
              <w:t xml:space="preserve"> </w:t>
            </w:r>
            <w:r w:rsidRPr="00787A10">
              <w:t>српској</w:t>
            </w:r>
            <w:r>
              <w:t>, тако</w:t>
            </w:r>
            <w:r w:rsidRPr="00787A10">
              <w:t xml:space="preserve"> и страној</w:t>
            </w:r>
            <w:r>
              <w:t>,</w:t>
            </w:r>
            <w:r w:rsidRPr="00787A10">
              <w:t xml:space="preserve"> не постој</w:t>
            </w:r>
            <w:r>
              <w:t>е</w:t>
            </w:r>
            <w:r w:rsidRPr="00787A10">
              <w:t xml:space="preserve"> студиј</w:t>
            </w:r>
            <w:r>
              <w:t>е</w:t>
            </w:r>
            <w:r w:rsidRPr="00787A10">
              <w:t xml:space="preserve"> или дисертациј</w:t>
            </w:r>
            <w:r>
              <w:t>е</w:t>
            </w:r>
            <w:r w:rsidRPr="00787A10">
              <w:t xml:space="preserve"> које систематиз</w:t>
            </w:r>
            <w:r>
              <w:t>ују</w:t>
            </w:r>
            <w:r w:rsidRPr="00787A10">
              <w:t xml:space="preserve"> Дидроова етичка начела изведена из разматрања питања морала у његовом стриктно књижевном делу, </w:t>
            </w:r>
            <w:r>
              <w:t>и да постоје само</w:t>
            </w:r>
            <w:r w:rsidRPr="00787A10">
              <w:t xml:space="preserve"> студије о дидроовској етици које обрађују одређени аспект његовог опуса или одређени временски период, као и научни радови на одређену етичку проблематику која се изучава код Дидроа, </w:t>
            </w:r>
            <w:r>
              <w:t xml:space="preserve">што </w:t>
            </w:r>
            <w:r w:rsidRPr="00787A10">
              <w:t>предложен</w:t>
            </w:r>
            <w:r>
              <w:t>у</w:t>
            </w:r>
            <w:r w:rsidRPr="00787A10">
              <w:t xml:space="preserve"> тем</w:t>
            </w:r>
            <w:r>
              <w:t>у</w:t>
            </w:r>
            <w:r w:rsidRPr="00787A10">
              <w:t xml:space="preserve"> докторске дисертације </w:t>
            </w:r>
            <w:r>
              <w:t>кандидата МА Милана Н. Јањића чини веома значајном, јер показује потенцијал да</w:t>
            </w:r>
            <w:r w:rsidR="003D777A">
              <w:t xml:space="preserve"> </w:t>
            </w:r>
            <w:r>
              <w:t>пружи</w:t>
            </w:r>
            <w:r w:rsidR="003D777A">
              <w:t xml:space="preserve"> </w:t>
            </w:r>
            <w:r w:rsidRPr="00787A10">
              <w:t>оригиналан научни допринос у изучавању француског просветитеља Денија Дидроа</w:t>
            </w:r>
            <w:r w:rsidR="000F77F5">
              <w:t xml:space="preserve">. </w:t>
            </w:r>
          </w:p>
          <w:p w14:paraId="5F468320" w14:textId="77777777" w:rsidR="00EA0590" w:rsidRPr="00CD315D" w:rsidRDefault="00EA0590" w:rsidP="00CD315D">
            <w:pPr>
              <w:tabs>
                <w:tab w:val="left" w:pos="2280"/>
              </w:tabs>
            </w:pPr>
          </w:p>
        </w:tc>
      </w:tr>
      <w:tr w:rsidR="00EA0590" w:rsidRPr="0082465B" w14:paraId="4E05748F" w14:textId="77777777" w:rsidTr="003C72C8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293ED139" w14:textId="77777777" w:rsidR="00EA0590" w:rsidRPr="0082465B" w:rsidRDefault="00EA0590" w:rsidP="003C72C8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69ED41E2" w14:textId="77777777" w:rsidR="00EA0590" w:rsidRPr="0082465B" w:rsidRDefault="00EA0590" w:rsidP="003C72C8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139EA42C" w14:textId="77777777" w:rsidTr="003C72C8">
        <w:trPr>
          <w:trHeight w:val="567"/>
          <w:jc w:val="center"/>
        </w:trPr>
        <w:tc>
          <w:tcPr>
            <w:tcW w:w="10786" w:type="dxa"/>
            <w:gridSpan w:val="10"/>
          </w:tcPr>
          <w:p w14:paraId="42557CA6" w14:textId="77777777" w:rsidR="00EF17E5" w:rsidRDefault="00EF17E5" w:rsidP="003C72C8">
            <w:pPr>
              <w:rPr>
                <w:highlight w:val="yellow"/>
              </w:rPr>
            </w:pPr>
          </w:p>
          <w:p w14:paraId="649BB8F4" w14:textId="77777777" w:rsidR="00F118A0" w:rsidRPr="005B478E" w:rsidRDefault="00F118A0" w:rsidP="00F118A0">
            <w:pPr>
              <w:spacing w:line="256" w:lineRule="auto"/>
            </w:pPr>
            <w:r w:rsidRPr="005B478E">
              <w:t>Предмет научног истраживања</w:t>
            </w:r>
            <w:r>
              <w:t>,</w:t>
            </w:r>
            <w:r w:rsidRPr="005B478E">
              <w:t xml:space="preserve">који је у својој пријави елаборирао кандидат </w:t>
            </w:r>
            <w:r>
              <w:t xml:space="preserve">МА </w:t>
            </w:r>
            <w:r w:rsidRPr="005B478E">
              <w:t xml:space="preserve">Милан Н. Јањић, а у претходној ставци аналитички </w:t>
            </w:r>
            <w:r>
              <w:t>размотрили</w:t>
            </w:r>
            <w:r w:rsidRPr="005B478E">
              <w:t xml:space="preserve"> чланови Комисије за оцену научне заснованости предложене теме, усклађен је с научном литературом и изворима који су </w:t>
            </w:r>
            <w:r>
              <w:t>наведени</w:t>
            </w:r>
            <w:r w:rsidRPr="005B478E">
              <w:t xml:space="preserve"> у пријави кандидата као библиографија планиране докторске дисертације. У претходном одељку, бр. 1 (Предмет научног истраживања), </w:t>
            </w:r>
            <w:r>
              <w:t>наведен</w:t>
            </w:r>
            <w:r w:rsidRPr="005B478E">
              <w:t xml:space="preserve"> је истраживачки корпус, тј. </w:t>
            </w:r>
            <w:r>
              <w:t xml:space="preserve">побројана су </w:t>
            </w:r>
            <w:r w:rsidRPr="005B478E">
              <w:t xml:space="preserve">Дидрова дела која ће кандидат </w:t>
            </w:r>
            <w:r>
              <w:t>изучавати,</w:t>
            </w:r>
            <w:r w:rsidR="003C4BD5">
              <w:t xml:space="preserve"> </w:t>
            </w:r>
            <w:r>
              <w:t>а што је у складу са тематским оквиром формулисаним</w:t>
            </w:r>
            <w:r w:rsidRPr="005B478E">
              <w:t xml:space="preserve"> предложен</w:t>
            </w:r>
            <w:r>
              <w:t>и</w:t>
            </w:r>
            <w:r w:rsidRPr="005B478E">
              <w:t>м наслов</w:t>
            </w:r>
            <w:r>
              <w:t>ом</w:t>
            </w:r>
            <w:r w:rsidRPr="005B478E">
              <w:t xml:space="preserve"> докторске дисертације. Секундарна литература</w:t>
            </w:r>
            <w:r>
              <w:t xml:space="preserve"> из приложене пријаве</w:t>
            </w:r>
            <w:r w:rsidR="003D777A">
              <w:t xml:space="preserve"> </w:t>
            </w:r>
            <w:r>
              <w:t xml:space="preserve">садржи </w:t>
            </w:r>
            <w:r w:rsidRPr="005B478E">
              <w:t>попис неопходн</w:t>
            </w:r>
            <w:r>
              <w:t>их</w:t>
            </w:r>
            <w:r w:rsidRPr="005B478E">
              <w:t xml:space="preserve"> студиј</w:t>
            </w:r>
            <w:r>
              <w:t>а</w:t>
            </w:r>
            <w:r w:rsidRPr="005B478E">
              <w:t xml:space="preserve"> о Дидроу на тему етике</w:t>
            </w:r>
            <w:r>
              <w:t xml:space="preserve">, </w:t>
            </w:r>
            <w:r w:rsidRPr="005B478E">
              <w:t xml:space="preserve">и незаобилазне студије из области дидрологије, </w:t>
            </w:r>
            <w:r>
              <w:t xml:space="preserve">које су </w:t>
            </w:r>
            <w:r w:rsidRPr="005B478E">
              <w:t>објављене на француском</w:t>
            </w:r>
            <w:r>
              <w:t>,</w:t>
            </w:r>
            <w:r w:rsidR="003C4BD5">
              <w:t xml:space="preserve"> </w:t>
            </w:r>
            <w:r>
              <w:t xml:space="preserve">на </w:t>
            </w:r>
            <w:r w:rsidRPr="005B478E">
              <w:t xml:space="preserve">енглеском, као и на српском језику: </w:t>
            </w:r>
            <w:r w:rsidRPr="005B478E">
              <w:rPr>
                <w:smallCaps/>
              </w:rPr>
              <w:t>Wilson</w:t>
            </w:r>
            <w:r w:rsidRPr="005B478E">
              <w:t xml:space="preserve"> 1985 (</w:t>
            </w:r>
            <w:r w:rsidRPr="005B478E">
              <w:rPr>
                <w:i/>
              </w:rPr>
              <w:t>Diderot, sa vie et son œuvre</w:t>
            </w:r>
            <w:r w:rsidRPr="005B478E">
              <w:t xml:space="preserve">), </w:t>
            </w:r>
            <w:r w:rsidRPr="005B478E">
              <w:rPr>
                <w:smallCaps/>
              </w:rPr>
              <w:t>Crocker</w:t>
            </w:r>
            <w:r w:rsidRPr="005B478E">
              <w:t xml:space="preserve"> 1952 (</w:t>
            </w:r>
            <w:r w:rsidRPr="005B478E">
              <w:rPr>
                <w:i/>
              </w:rPr>
              <w:t>Two Diderot studies: ethics and esthetics</w:t>
            </w:r>
            <w:r w:rsidRPr="005B478E">
              <w:t xml:space="preserve">), </w:t>
            </w:r>
            <w:r w:rsidRPr="005B478E">
              <w:rPr>
                <w:smallCaps/>
              </w:rPr>
              <w:t>Crocker</w:t>
            </w:r>
            <w:r w:rsidRPr="005B478E">
              <w:t xml:space="preserve"> 1955 (</w:t>
            </w:r>
            <w:r w:rsidRPr="005B478E">
              <w:rPr>
                <w:i/>
              </w:rPr>
              <w:t>The Embattled Philosopher</w:t>
            </w:r>
            <w:r w:rsidRPr="005B478E">
              <w:t xml:space="preserve">), </w:t>
            </w:r>
            <w:r w:rsidRPr="005B478E">
              <w:rPr>
                <w:smallCaps/>
              </w:rPr>
              <w:t>Crocker</w:t>
            </w:r>
            <w:r w:rsidRPr="005B478E">
              <w:t xml:space="preserve"> 1974 (</w:t>
            </w:r>
            <w:r w:rsidRPr="005B478E">
              <w:rPr>
                <w:i/>
              </w:rPr>
              <w:t>Diderot’s Chaotic Order, Approach to Synthesis</w:t>
            </w:r>
            <w:r w:rsidRPr="005B478E">
              <w:t xml:space="preserve">), </w:t>
            </w:r>
            <w:r w:rsidRPr="005B478E">
              <w:rPr>
                <w:smallCaps/>
              </w:rPr>
              <w:t xml:space="preserve">Hermand </w:t>
            </w:r>
            <w:r w:rsidRPr="005B478E">
              <w:t>1923 (</w:t>
            </w:r>
            <w:r w:rsidRPr="005B478E">
              <w:rPr>
                <w:i/>
              </w:rPr>
              <w:t>Les idées morales de Diderot</w:t>
            </w:r>
            <w:r w:rsidRPr="005B478E">
              <w:t xml:space="preserve">), </w:t>
            </w:r>
            <w:r w:rsidRPr="005B478E">
              <w:rPr>
                <w:smallCaps/>
              </w:rPr>
              <w:t xml:space="preserve">Dieckmann </w:t>
            </w:r>
            <w:r w:rsidRPr="005B478E">
              <w:t>1959 (</w:t>
            </w:r>
            <w:r w:rsidRPr="005B478E">
              <w:rPr>
                <w:i/>
              </w:rPr>
              <w:t>Cinq leçons sur Diderot</w:t>
            </w:r>
            <w:r w:rsidRPr="005B478E">
              <w:t xml:space="preserve">), </w:t>
            </w:r>
            <w:r w:rsidRPr="005B478E">
              <w:rPr>
                <w:smallCaps/>
              </w:rPr>
              <w:t>Menil</w:t>
            </w:r>
            <w:r w:rsidRPr="005B478E">
              <w:t xml:space="preserve"> 1985 (</w:t>
            </w:r>
            <w:r w:rsidRPr="003D777A">
              <w:rPr>
                <w:i/>
              </w:rPr>
              <w:t>Diderot et le drame</w:t>
            </w:r>
            <w:r w:rsidRPr="005B478E">
              <w:t xml:space="preserve">), </w:t>
            </w:r>
            <w:r w:rsidRPr="005B478E">
              <w:rPr>
                <w:smallCaps/>
              </w:rPr>
              <w:t xml:space="preserve">Schmitt </w:t>
            </w:r>
            <w:r w:rsidRPr="005B478E">
              <w:t>2013 (</w:t>
            </w:r>
            <w:r w:rsidRPr="005B478E">
              <w:rPr>
                <w:i/>
              </w:rPr>
              <w:t>Diderot ou la philosophie de la séduction</w:t>
            </w:r>
            <w:r w:rsidRPr="005B478E">
              <w:t xml:space="preserve">), </w:t>
            </w:r>
            <w:r w:rsidRPr="005B478E">
              <w:rPr>
                <w:smallCaps/>
              </w:rPr>
              <w:t xml:space="preserve">Vincent </w:t>
            </w:r>
            <w:r w:rsidRPr="005B478E">
              <w:t>2014 (</w:t>
            </w:r>
            <w:r w:rsidRPr="005B478E">
              <w:rPr>
                <w:i/>
              </w:rPr>
              <w:t>Diderot en quête d’éthique, 1773-1784</w:t>
            </w:r>
            <w:r w:rsidRPr="005B478E">
              <w:t>),</w:t>
            </w:r>
            <w:r w:rsidRPr="005B478E">
              <w:rPr>
                <w:smallCaps/>
              </w:rPr>
              <w:t xml:space="preserve"> Vučelj</w:t>
            </w:r>
            <w:r w:rsidRPr="005B478E">
              <w:t xml:space="preserve"> 2015 (</w:t>
            </w:r>
            <w:r w:rsidRPr="005B478E">
              <w:rPr>
                <w:i/>
              </w:rPr>
              <w:t>Didro i estetika</w:t>
            </w:r>
            <w:r w:rsidRPr="005B478E">
              <w:t xml:space="preserve">), </w:t>
            </w:r>
            <w:r w:rsidRPr="005B478E">
              <w:rPr>
                <w:smallCaps/>
              </w:rPr>
              <w:t>Божовић</w:t>
            </w:r>
            <w:r w:rsidRPr="005B478E">
              <w:t xml:space="preserve"> 2008 (есеј „Дени Дидро: философија и књижевност</w:t>
            </w:r>
            <w:r w:rsidRPr="005B478E">
              <w:rPr>
                <w:lang w:val="ru-RU"/>
              </w:rPr>
              <w:t>”</w:t>
            </w:r>
            <w:r w:rsidRPr="005B478E">
              <w:t>). Током рада</w:t>
            </w:r>
            <w:r>
              <w:t xml:space="preserve"> на дисертацији</w:t>
            </w:r>
            <w:r w:rsidRPr="005B478E">
              <w:t xml:space="preserve"> кандидат ће увећати листу референци секундарне литературе. </w:t>
            </w:r>
          </w:p>
          <w:p w14:paraId="451361E0" w14:textId="77777777" w:rsidR="00EA0590" w:rsidRPr="00F118A0" w:rsidRDefault="00EA0590" w:rsidP="001B68E4"/>
        </w:tc>
      </w:tr>
      <w:tr w:rsidR="00EA0590" w:rsidRPr="0082465B" w14:paraId="32ED91BA" w14:textId="77777777" w:rsidTr="003C72C8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480CDEA3" w14:textId="77777777" w:rsidR="00EA0590" w:rsidRPr="0082465B" w:rsidRDefault="00EA0590" w:rsidP="003C72C8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30C5E4F6" w14:textId="77777777" w:rsidR="00EA0590" w:rsidRPr="0082465B" w:rsidRDefault="00EA0590" w:rsidP="003C72C8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7C9C5D50" w14:textId="77777777" w:rsidTr="003C72C8">
        <w:trPr>
          <w:trHeight w:val="567"/>
          <w:jc w:val="center"/>
        </w:trPr>
        <w:tc>
          <w:tcPr>
            <w:tcW w:w="10786" w:type="dxa"/>
            <w:gridSpan w:val="10"/>
          </w:tcPr>
          <w:p w14:paraId="5EFC56AC" w14:textId="77777777" w:rsidR="00CC1D34" w:rsidRDefault="00CC1D34" w:rsidP="00F455EA">
            <w:pPr>
              <w:rPr>
                <w:highlight w:val="yellow"/>
                <w:lang w:val="ru-RU"/>
              </w:rPr>
            </w:pPr>
          </w:p>
          <w:p w14:paraId="1195F6FA" w14:textId="77777777" w:rsidR="00F118A0" w:rsidRPr="005B478E" w:rsidRDefault="00F118A0" w:rsidP="00F118A0">
            <w:pPr>
              <w:spacing w:line="256" w:lineRule="auto"/>
            </w:pPr>
            <w:r w:rsidRPr="005B478E">
              <w:rPr>
                <w:lang w:val="ru-RU"/>
              </w:rPr>
              <w:t xml:space="preserve">Кандидат </w:t>
            </w:r>
            <w:r>
              <w:rPr>
                <w:lang w:val="ru-RU"/>
              </w:rPr>
              <w:t xml:space="preserve">МА </w:t>
            </w:r>
            <w:r w:rsidRPr="005B478E">
              <w:rPr>
                <w:lang w:val="ru-RU"/>
              </w:rPr>
              <w:t xml:space="preserve">Милан Н. Јањић </w:t>
            </w:r>
            <w:r>
              <w:rPr>
                <w:lang w:val="ru-RU"/>
              </w:rPr>
              <w:t>поставио је за</w:t>
            </w:r>
            <w:r w:rsidRPr="005B478E">
              <w:rPr>
                <w:lang w:val="ru-RU"/>
              </w:rPr>
              <w:t xml:space="preserve"> циљ научног истраживањ</w:t>
            </w:r>
            <w:r>
              <w:rPr>
                <w:lang w:val="ru-RU"/>
              </w:rPr>
              <w:t>а да</w:t>
            </w:r>
            <w:r w:rsidR="003D77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 основу</w:t>
            </w:r>
            <w:r w:rsidR="003D777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подробне </w:t>
            </w:r>
            <w:r w:rsidRPr="005B478E">
              <w:rPr>
                <w:lang w:val="ru-RU"/>
              </w:rPr>
              <w:t xml:space="preserve">анализе </w:t>
            </w:r>
            <w:r>
              <w:rPr>
                <w:lang w:val="ru-RU"/>
              </w:rPr>
              <w:t>Дидроовог</w:t>
            </w:r>
            <w:r w:rsidRPr="005B478E">
              <w:rPr>
                <w:lang w:val="ru-RU"/>
              </w:rPr>
              <w:t xml:space="preserve"> књижевног опуса систематиз</w:t>
            </w:r>
            <w:r>
              <w:rPr>
                <w:lang w:val="ru-RU"/>
              </w:rPr>
              <w:t>ује</w:t>
            </w:r>
            <w:r w:rsidRPr="005B478E">
              <w:rPr>
                <w:lang w:val="ru-RU"/>
              </w:rPr>
              <w:t xml:space="preserve"> Дидроове етичке мисли</w:t>
            </w:r>
            <w:r>
              <w:rPr>
                <w:lang w:val="ru-RU"/>
              </w:rPr>
              <w:t>,</w:t>
            </w:r>
            <w:r w:rsidR="003D77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5B478E">
              <w:rPr>
                <w:lang w:val="ru-RU"/>
              </w:rPr>
              <w:t xml:space="preserve"> да елаборира истраживачке домете и закључке о етици код Дидроа</w:t>
            </w:r>
            <w:r>
              <w:rPr>
                <w:lang w:val="ru-RU"/>
              </w:rPr>
              <w:t>, који су објављени</w:t>
            </w:r>
            <w:r w:rsidRPr="005B478E">
              <w:rPr>
                <w:lang w:val="ru-RU"/>
              </w:rPr>
              <w:t xml:space="preserve"> у досадашњим теоријско-критичким студијама на енглеском</w:t>
            </w:r>
            <w:r>
              <w:rPr>
                <w:lang w:val="ru-RU"/>
              </w:rPr>
              <w:t xml:space="preserve"> и</w:t>
            </w:r>
            <w:r w:rsidR="003D777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на </w:t>
            </w:r>
            <w:r w:rsidRPr="005B478E">
              <w:rPr>
                <w:lang w:val="ru-RU"/>
              </w:rPr>
              <w:t xml:space="preserve">француском језику, као и у радовима на српском језику. Кандидат </w:t>
            </w:r>
            <w:r>
              <w:rPr>
                <w:lang w:val="ru-RU"/>
              </w:rPr>
              <w:t>је подвукао</w:t>
            </w:r>
            <w:r w:rsidRPr="005B478E">
              <w:rPr>
                <w:lang w:val="ru-RU"/>
              </w:rPr>
              <w:t xml:space="preserve"> да ће </w:t>
            </w:r>
            <w:r>
              <w:rPr>
                <w:lang w:val="ru-RU"/>
              </w:rPr>
              <w:t xml:space="preserve">својим </w:t>
            </w:r>
            <w:r w:rsidRPr="005B478E">
              <w:rPr>
                <w:lang w:val="ru-RU"/>
              </w:rPr>
              <w:t>критичко-аналитички</w:t>
            </w:r>
            <w:r>
              <w:rPr>
                <w:lang w:val="ru-RU"/>
              </w:rPr>
              <w:t xml:space="preserve">м приступом сучелити </w:t>
            </w:r>
            <w:r>
              <w:t xml:space="preserve">сва </w:t>
            </w:r>
            <w:r w:rsidRPr="005B478E">
              <w:t>претходна истраживања о Дидроу и етици</w:t>
            </w:r>
            <w:r>
              <w:t>,</w:t>
            </w:r>
            <w:r w:rsidR="003D777A">
              <w:t xml:space="preserve"> </w:t>
            </w:r>
            <w:r>
              <w:t xml:space="preserve">која су настајала </w:t>
            </w:r>
            <w:r w:rsidRPr="005B478E">
              <w:t xml:space="preserve">током два века, </w:t>
            </w:r>
            <w:r>
              <w:t xml:space="preserve">те </w:t>
            </w:r>
            <w:r w:rsidRPr="005B478E">
              <w:t xml:space="preserve">да ће </w:t>
            </w:r>
            <w:r>
              <w:t>своје</w:t>
            </w:r>
            <w:r w:rsidRPr="005B478E">
              <w:t xml:space="preserve"> истраживање у докторској дисертацији позиционирати у односу на </w:t>
            </w:r>
            <w:r>
              <w:t xml:space="preserve">већ </w:t>
            </w:r>
            <w:r w:rsidRPr="005B478E">
              <w:t xml:space="preserve">постојећа истраживања и изнаћи свој истраживачки простор </w:t>
            </w:r>
            <w:r>
              <w:t xml:space="preserve">као </w:t>
            </w:r>
            <w:r w:rsidRPr="005B478E">
              <w:t>и аутономан приступ</w:t>
            </w:r>
            <w:r>
              <w:t>,</w:t>
            </w:r>
            <w:r w:rsidRPr="005B478E">
              <w:t xml:space="preserve"> како би </w:t>
            </w:r>
            <w:r>
              <w:t>дисертација резултирала</w:t>
            </w:r>
            <w:r w:rsidR="00B06B59">
              <w:t xml:space="preserve"> </w:t>
            </w:r>
            <w:r w:rsidRPr="005B478E">
              <w:t>оригинални</w:t>
            </w:r>
            <w:r>
              <w:t>м</w:t>
            </w:r>
            <w:r w:rsidRPr="005B478E">
              <w:t xml:space="preserve"> научни</w:t>
            </w:r>
            <w:r>
              <w:t>м</w:t>
            </w:r>
            <w:r w:rsidRPr="005B478E">
              <w:t xml:space="preserve"> допринос</w:t>
            </w:r>
            <w:r>
              <w:t>ом</w:t>
            </w:r>
            <w:r w:rsidR="00B06B59">
              <w:t xml:space="preserve"> </w:t>
            </w:r>
            <w:r>
              <w:t>у области</w:t>
            </w:r>
            <w:r w:rsidRPr="005B478E">
              <w:t xml:space="preserve"> дидрологије. </w:t>
            </w:r>
          </w:p>
          <w:p w14:paraId="41309D47" w14:textId="77777777" w:rsidR="00F118A0" w:rsidRPr="005B478E" w:rsidRDefault="00F118A0" w:rsidP="00F118A0">
            <w:pPr>
              <w:spacing w:line="256" w:lineRule="auto"/>
            </w:pPr>
          </w:p>
          <w:p w14:paraId="010E7913" w14:textId="77777777" w:rsidR="00F118A0" w:rsidRPr="005B478E" w:rsidRDefault="00F118A0" w:rsidP="00F118A0">
            <w:pPr>
              <w:spacing w:line="256" w:lineRule="auto"/>
              <w:rPr>
                <w:lang w:val="ru-RU"/>
              </w:rPr>
            </w:pPr>
            <w:r w:rsidRPr="005B478E">
              <w:t>Кандидат сматра да је у студијама из 19. и 20</w:t>
            </w:r>
            <w:r w:rsidR="003C4BD5">
              <w:t>.</w:t>
            </w:r>
            <w:r w:rsidRPr="005B478E">
              <w:t xml:space="preserve"> века Дидроово књижевно дело било </w:t>
            </w:r>
            <w:r>
              <w:t xml:space="preserve">скрајнуто и </w:t>
            </w:r>
            <w:r w:rsidRPr="005B478E">
              <w:t>у сенц</w:t>
            </w:r>
            <w:r>
              <w:t>и</w:t>
            </w:r>
            <w:r w:rsidRPr="005B478E">
              <w:t xml:space="preserve"> изучавања његових философских списа, те да се и само изучавање књижевног дела обављало кроз призму дидроовске философске мисли која је материјалистичка и атеистичка. Кандидат наводи пример скорашње објављене докторске дисертације Шарла Венсана (2014) у којој се аутор у разматрању Дидроове потраге за етиком определио за период последње деценије стваралаштва овог просветитеља, при чему је у </w:t>
            </w:r>
            <w:r>
              <w:t xml:space="preserve">истраживачки </w:t>
            </w:r>
            <w:r w:rsidRPr="005B478E">
              <w:t>фокус ставио философске списе</w:t>
            </w:r>
            <w:r>
              <w:t>,</w:t>
            </w:r>
            <w:r w:rsidRPr="005B478E">
              <w:t xml:space="preserve"> док је књижевно дело</w:t>
            </w:r>
            <w:r>
              <w:t xml:space="preserve"> остало</w:t>
            </w:r>
            <w:r w:rsidRPr="005B478E">
              <w:t xml:space="preserve"> у другом плану. Кандидат већ у својој пријави најављује полемику с Венсановим истраживањем, наводећи како „и</w:t>
            </w:r>
            <w:r w:rsidRPr="005B478E">
              <w:rPr>
                <w:lang w:val="ru-RU"/>
              </w:rPr>
              <w:t>золована анализа списа из последње декаде његовог</w:t>
            </w:r>
            <w:r w:rsidR="003D777A">
              <w:rPr>
                <w:lang w:val="ru-RU"/>
              </w:rPr>
              <w:t xml:space="preserve"> </w:t>
            </w:r>
            <w:r w:rsidRPr="001B3A35">
              <w:t>[</w:t>
            </w:r>
            <w:r>
              <w:t>Дидроовог</w:t>
            </w:r>
            <w:r w:rsidRPr="001B3A35">
              <w:t>]</w:t>
            </w:r>
            <w:r w:rsidRPr="005B478E">
              <w:rPr>
                <w:lang w:val="ru-RU"/>
              </w:rPr>
              <w:t xml:space="preserve"> живота не може пружити целовити увид и објаснити Дидроову </w:t>
            </w:r>
            <w:r w:rsidRPr="005B478E">
              <w:rPr>
                <w:i/>
                <w:lang w:val="ru-RU"/>
              </w:rPr>
              <w:t>потрагу за етиком</w:t>
            </w:r>
            <w:r w:rsidRPr="005B478E">
              <w:rPr>
                <w:lang w:val="ru-RU"/>
              </w:rPr>
              <w:t>”</w:t>
            </w:r>
            <w:r>
              <w:rPr>
                <w:lang w:val="ru-RU"/>
              </w:rPr>
              <w:t>,</w:t>
            </w:r>
            <w:r w:rsidRPr="005B478E">
              <w:rPr>
                <w:lang w:val="ru-RU"/>
              </w:rPr>
              <w:t xml:space="preserve"> будући да је </w:t>
            </w:r>
            <w:r>
              <w:rPr>
                <w:lang w:val="ru-RU"/>
              </w:rPr>
              <w:t>писац читавог</w:t>
            </w:r>
            <w:r w:rsidRPr="005B478E">
              <w:rPr>
                <w:lang w:val="ru-RU"/>
              </w:rPr>
              <w:t xml:space="preserve"> живота био у потрази за њом. </w:t>
            </w:r>
          </w:p>
          <w:p w14:paraId="23477DEF" w14:textId="77777777" w:rsidR="00F118A0" w:rsidRPr="005B478E" w:rsidRDefault="00F118A0" w:rsidP="00F118A0">
            <w:pPr>
              <w:spacing w:line="256" w:lineRule="auto"/>
              <w:rPr>
                <w:highlight w:val="yellow"/>
                <w:lang w:val="ru-RU"/>
              </w:rPr>
            </w:pPr>
          </w:p>
          <w:p w14:paraId="08B6FDDD" w14:textId="77777777" w:rsidR="00EA57D6" w:rsidRDefault="00F118A0" w:rsidP="00F118A0">
            <w:r w:rsidRPr="005B478E">
              <w:t xml:space="preserve">Како досад нема свеобухватне систематизоване студије о дидроовској етици која би била изведена из </w:t>
            </w:r>
            <w:r>
              <w:t>Дидроовог</w:t>
            </w:r>
            <w:r w:rsidRPr="005B478E">
              <w:t xml:space="preserve"> целокупног </w:t>
            </w:r>
            <w:r>
              <w:t xml:space="preserve">стваралачког </w:t>
            </w:r>
            <w:r w:rsidRPr="005B478E">
              <w:t>опуса (</w:t>
            </w:r>
            <w:r>
              <w:t xml:space="preserve">и </w:t>
            </w:r>
            <w:r w:rsidRPr="005B478E">
              <w:t xml:space="preserve">књижевног и философског), а нема ни научног истраживања које би систематизовало </w:t>
            </w:r>
            <w:r>
              <w:t>ауторова</w:t>
            </w:r>
            <w:r w:rsidRPr="005B478E">
              <w:t xml:space="preserve"> етичка начела изведена из његовог целокупног књижевног дела (у основном смислу уметничке фикције), т</w:t>
            </w:r>
            <w:r>
              <w:t>ако</w:t>
            </w:r>
            <w:r w:rsidRPr="005B478E">
              <w:t xml:space="preserve"> тема докторске дисертације</w:t>
            </w:r>
            <w:r w:rsidR="003D777A">
              <w:t>,</w:t>
            </w:r>
            <w:r w:rsidRPr="005B478E">
              <w:t xml:space="preserve"> </w:t>
            </w:r>
            <w:r>
              <w:t>коју је предложио кандидат МА Милан Н. Јањић, носи у себи евидентан потенцијал да, по својој одбрани и објављивању, постане</w:t>
            </w:r>
            <w:r w:rsidRPr="005B478E">
              <w:t xml:space="preserve"> оригиналн</w:t>
            </w:r>
            <w:r>
              <w:t>о истраживање</w:t>
            </w:r>
            <w:r w:rsidR="003D777A">
              <w:t xml:space="preserve"> </w:t>
            </w:r>
            <w:r>
              <w:t xml:space="preserve">које би понудило значајан </w:t>
            </w:r>
            <w:r w:rsidRPr="005B478E">
              <w:t>научни допринос</w:t>
            </w:r>
            <w:r>
              <w:t>,</w:t>
            </w:r>
            <w:r w:rsidR="003D777A">
              <w:t xml:space="preserve"> </w:t>
            </w:r>
            <w:r>
              <w:t>ч</w:t>
            </w:r>
            <w:r w:rsidRPr="005B478E">
              <w:t xml:space="preserve">име </w:t>
            </w:r>
            <w:r>
              <w:t>би се испунио и кандидатов</w:t>
            </w:r>
            <w:r w:rsidRPr="005B478E">
              <w:t xml:space="preserve"> постављени циљ</w:t>
            </w:r>
            <w:r w:rsidR="00EA57D6">
              <w:t xml:space="preserve">. </w:t>
            </w:r>
          </w:p>
          <w:p w14:paraId="6F35C390" w14:textId="77777777" w:rsidR="00EA0590" w:rsidRPr="00CD315D" w:rsidRDefault="00EA0590" w:rsidP="00F03550"/>
        </w:tc>
      </w:tr>
      <w:tr w:rsidR="00EA0590" w:rsidRPr="0082465B" w14:paraId="4D2F2B92" w14:textId="77777777" w:rsidTr="003C72C8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15B4C12C" w14:textId="77777777" w:rsidR="00EA0590" w:rsidRPr="0082465B" w:rsidRDefault="00EA0590" w:rsidP="003C72C8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4.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5263793E" w14:textId="77777777" w:rsidR="00EA0590" w:rsidRPr="0082465B" w:rsidRDefault="00EA0590" w:rsidP="003C72C8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180B77F0" w14:textId="77777777" w:rsidTr="003C72C8">
        <w:trPr>
          <w:trHeight w:val="567"/>
          <w:jc w:val="center"/>
        </w:trPr>
        <w:tc>
          <w:tcPr>
            <w:tcW w:w="10786" w:type="dxa"/>
            <w:gridSpan w:val="10"/>
          </w:tcPr>
          <w:p w14:paraId="25A75708" w14:textId="77777777" w:rsidR="00853A7B" w:rsidRDefault="00853A7B" w:rsidP="00F455EA">
            <w:pPr>
              <w:rPr>
                <w:highlight w:val="yellow"/>
                <w:lang w:val="ru-RU"/>
              </w:rPr>
            </w:pPr>
          </w:p>
          <w:p w14:paraId="1FC2A354" w14:textId="77777777" w:rsidR="00F118A0" w:rsidRPr="005B478E" w:rsidRDefault="00F118A0" w:rsidP="00F118A0">
            <w:pPr>
              <w:spacing w:line="256" w:lineRule="auto"/>
              <w:rPr>
                <w:lang w:val="ru-RU"/>
              </w:rPr>
            </w:pPr>
            <w:r w:rsidRPr="005B478E">
              <w:rPr>
                <w:lang w:val="ru-RU"/>
              </w:rPr>
              <w:t xml:space="preserve">Кандидат </w:t>
            </w:r>
            <w:r>
              <w:rPr>
                <w:lang w:val="ru-RU"/>
              </w:rPr>
              <w:t xml:space="preserve">МА </w:t>
            </w:r>
            <w:r w:rsidRPr="005B478E">
              <w:rPr>
                <w:lang w:val="ru-RU"/>
              </w:rPr>
              <w:t xml:space="preserve">Милан Н. Јањић изложио је у својој пријави </w:t>
            </w:r>
            <w:r>
              <w:rPr>
                <w:lang w:val="ru-RU"/>
              </w:rPr>
              <w:t>детаљну структуру</w:t>
            </w:r>
            <w:r w:rsidR="003D777A">
              <w:rPr>
                <w:lang w:val="ru-RU"/>
              </w:rPr>
              <w:t xml:space="preserve">  </w:t>
            </w:r>
            <w:r>
              <w:rPr>
                <w:lang w:val="ru-RU"/>
              </w:rPr>
              <w:t>будуће</w:t>
            </w:r>
            <w:r w:rsidRPr="005B478E">
              <w:rPr>
                <w:lang w:val="ru-RU"/>
              </w:rPr>
              <w:t xml:space="preserve"> докторске дисертације. У</w:t>
            </w:r>
            <w:r>
              <w:rPr>
                <w:lang w:val="ru-RU"/>
              </w:rPr>
              <w:t xml:space="preserve"> у</w:t>
            </w:r>
            <w:r w:rsidRPr="005B478E">
              <w:rPr>
                <w:lang w:val="ru-RU"/>
              </w:rPr>
              <w:t>водно</w:t>
            </w:r>
            <w:r>
              <w:rPr>
                <w:lang w:val="ru-RU"/>
              </w:rPr>
              <w:t>м</w:t>
            </w:r>
            <w:r w:rsidRPr="005B478E">
              <w:rPr>
                <w:lang w:val="ru-RU"/>
              </w:rPr>
              <w:t xml:space="preserve"> поглављ</w:t>
            </w:r>
            <w:r>
              <w:rPr>
                <w:lang w:val="ru-RU"/>
              </w:rPr>
              <w:t>у би</w:t>
            </w:r>
            <w:r w:rsidRPr="005B478E">
              <w:rPr>
                <w:lang w:val="ru-RU"/>
              </w:rPr>
              <w:t>ће образлож</w:t>
            </w:r>
            <w:r>
              <w:rPr>
                <w:lang w:val="ru-RU"/>
              </w:rPr>
              <w:t xml:space="preserve">ени </w:t>
            </w:r>
            <w:r w:rsidRPr="005B478E">
              <w:rPr>
                <w:lang w:val="ru-RU"/>
              </w:rPr>
              <w:t>одабир теме, предмет и циљ истраживања, те методологиј</w:t>
            </w:r>
            <w:r>
              <w:rPr>
                <w:lang w:val="ru-RU"/>
              </w:rPr>
              <w:t>а</w:t>
            </w:r>
            <w:r w:rsidRPr="005B478E">
              <w:rPr>
                <w:lang w:val="ru-RU"/>
              </w:rPr>
              <w:t xml:space="preserve"> рада. Друго поглавље понуди</w:t>
            </w:r>
            <w:r>
              <w:rPr>
                <w:lang w:val="ru-RU"/>
              </w:rPr>
              <w:t>ће</w:t>
            </w:r>
            <w:r w:rsidRPr="005B478E">
              <w:rPr>
                <w:lang w:val="ru-RU"/>
              </w:rPr>
              <w:t xml:space="preserve"> аналитички увид у поимање појма етике и дијахронијски преглед теоријског разматрања морала, и у тај контекст </w:t>
            </w:r>
            <w:r>
              <w:rPr>
                <w:lang w:val="ru-RU"/>
              </w:rPr>
              <w:t xml:space="preserve">ће </w:t>
            </w:r>
            <w:r w:rsidRPr="005B478E">
              <w:rPr>
                <w:lang w:val="ru-RU"/>
              </w:rPr>
              <w:t>постави</w:t>
            </w:r>
            <w:r>
              <w:rPr>
                <w:lang w:val="ru-RU"/>
              </w:rPr>
              <w:t>ти</w:t>
            </w:r>
            <w:r w:rsidRPr="005B478E">
              <w:rPr>
                <w:lang w:val="ru-RU"/>
              </w:rPr>
              <w:t xml:space="preserve"> вредносно етику просветитељства и Дидроову етику. </w:t>
            </w:r>
            <w:r>
              <w:rPr>
                <w:lang w:val="ru-RU"/>
              </w:rPr>
              <w:t>У г</w:t>
            </w:r>
            <w:r w:rsidRPr="005B478E">
              <w:rPr>
                <w:lang w:val="ru-RU"/>
              </w:rPr>
              <w:t>лавн</w:t>
            </w:r>
            <w:r>
              <w:rPr>
                <w:lang w:val="ru-RU"/>
              </w:rPr>
              <w:t>им</w:t>
            </w:r>
            <w:r w:rsidRPr="005B478E">
              <w:rPr>
                <w:lang w:val="ru-RU"/>
              </w:rPr>
              <w:t xml:space="preserve"> тематск</w:t>
            </w:r>
            <w:r>
              <w:rPr>
                <w:lang w:val="ru-RU"/>
              </w:rPr>
              <w:t>им</w:t>
            </w:r>
            <w:r w:rsidRPr="005B478E">
              <w:rPr>
                <w:lang w:val="ru-RU"/>
              </w:rPr>
              <w:t xml:space="preserve"> поглављ</w:t>
            </w:r>
            <w:r>
              <w:rPr>
                <w:lang w:val="ru-RU"/>
              </w:rPr>
              <w:t>им</w:t>
            </w:r>
            <w:r w:rsidRPr="005B478E">
              <w:rPr>
                <w:lang w:val="ru-RU"/>
              </w:rPr>
              <w:t xml:space="preserve">а непосредно </w:t>
            </w:r>
            <w:r>
              <w:rPr>
                <w:lang w:val="ru-RU"/>
              </w:rPr>
              <w:t xml:space="preserve">ће се </w:t>
            </w:r>
            <w:r w:rsidRPr="005B478E">
              <w:rPr>
                <w:lang w:val="ru-RU"/>
              </w:rPr>
              <w:t>разматра</w:t>
            </w:r>
            <w:r>
              <w:rPr>
                <w:lang w:val="ru-RU"/>
              </w:rPr>
              <w:t>ти</w:t>
            </w:r>
            <w:r w:rsidRPr="005B478E">
              <w:rPr>
                <w:lang w:val="ru-RU"/>
              </w:rPr>
              <w:t xml:space="preserve"> етичка питања у Дидроовом књижевном делу, </w:t>
            </w:r>
            <w:r>
              <w:rPr>
                <w:lang w:val="ru-RU"/>
              </w:rPr>
              <w:t xml:space="preserve">и то </w:t>
            </w:r>
            <w:r w:rsidRPr="005B478E">
              <w:rPr>
                <w:lang w:val="ru-RU"/>
              </w:rPr>
              <w:t xml:space="preserve">кроз </w:t>
            </w:r>
            <w:r>
              <w:rPr>
                <w:lang w:val="ru-RU"/>
              </w:rPr>
              <w:t xml:space="preserve">следеће етапе, насловљене </w:t>
            </w:r>
            <w:r w:rsidRPr="005B478E">
              <w:rPr>
                <w:lang w:val="ru-RU"/>
              </w:rPr>
              <w:t>радн</w:t>
            </w:r>
            <w:r>
              <w:rPr>
                <w:lang w:val="ru-RU"/>
              </w:rPr>
              <w:t xml:space="preserve">им </w:t>
            </w:r>
            <w:r w:rsidRPr="005B478E">
              <w:rPr>
                <w:lang w:val="ru-RU"/>
              </w:rPr>
              <w:t>наслов</w:t>
            </w:r>
            <w:r>
              <w:rPr>
                <w:lang w:val="ru-RU"/>
              </w:rPr>
              <w:t>има</w:t>
            </w:r>
            <w:r w:rsidRPr="005B478E">
              <w:rPr>
                <w:lang w:val="ru-RU"/>
              </w:rPr>
              <w:t xml:space="preserve">: </w:t>
            </w:r>
            <w:r w:rsidRPr="005B478E">
              <w:t xml:space="preserve">1. </w:t>
            </w:r>
            <w:r w:rsidRPr="005B478E">
              <w:rPr>
                <w:smallCaps/>
              </w:rPr>
              <w:t xml:space="preserve">Друштвено-политичка етика, 2. Етика љубави, 3. Религија: суочавање природне и хришћанске етике, 4. Морални детерминизам </w:t>
            </w:r>
            <w:r w:rsidRPr="005B478E">
              <w:rPr>
                <w:i/>
                <w:smallCaps/>
              </w:rPr>
              <w:t>Фаталисте Жака</w:t>
            </w:r>
            <w:r w:rsidRPr="005B478E">
              <w:rPr>
                <w:smallCaps/>
              </w:rPr>
              <w:t xml:space="preserve">, 5. Аморализам и(ли) иморализам у </w:t>
            </w:r>
            <w:r w:rsidRPr="005B478E">
              <w:rPr>
                <w:i/>
                <w:smallCaps/>
              </w:rPr>
              <w:t>Рамоовом синовцу</w:t>
            </w:r>
            <w:r w:rsidRPr="005B478E">
              <w:t xml:space="preserve"> и 6. </w:t>
            </w:r>
            <w:r w:rsidRPr="005B478E">
              <w:rPr>
                <w:smallCaps/>
              </w:rPr>
              <w:t xml:space="preserve">Дидактички морал у Дидроовом позоришту. </w:t>
            </w:r>
          </w:p>
          <w:p w14:paraId="090083B1" w14:textId="77777777" w:rsidR="00F118A0" w:rsidRPr="005B478E" w:rsidRDefault="00F118A0" w:rsidP="00F118A0">
            <w:pPr>
              <w:spacing w:line="256" w:lineRule="auto"/>
              <w:rPr>
                <w:lang w:val="ru-RU"/>
              </w:rPr>
            </w:pPr>
          </w:p>
          <w:p w14:paraId="73C8DD49" w14:textId="77777777" w:rsidR="00F17885" w:rsidRPr="00380A52" w:rsidRDefault="00F118A0" w:rsidP="00F118A0">
            <w:pPr>
              <w:spacing w:line="256" w:lineRule="auto"/>
              <w:rPr>
                <w:lang w:val="ru-RU"/>
              </w:rPr>
            </w:pPr>
            <w:r>
              <w:rPr>
                <w:lang w:val="ru-RU"/>
              </w:rPr>
              <w:t>Кандидат је ваљано осмислио план дисертације</w:t>
            </w:r>
            <w:r w:rsidR="003D777A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чије</w:t>
            </w:r>
            <w:r w:rsidR="003D777A">
              <w:rPr>
                <w:lang w:val="ru-RU"/>
              </w:rPr>
              <w:t xml:space="preserve"> </w:t>
            </w:r>
            <w:r w:rsidRPr="005B478E">
              <w:rPr>
                <w:lang w:val="ru-RU"/>
              </w:rPr>
              <w:t>научно</w:t>
            </w:r>
            <w:r w:rsidR="003D777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утемељење лежи </w:t>
            </w:r>
            <w:r w:rsidRPr="005B478E">
              <w:rPr>
                <w:lang w:val="ru-RU"/>
              </w:rPr>
              <w:t xml:space="preserve">на </w:t>
            </w:r>
            <w:r>
              <w:rPr>
                <w:lang w:val="ru-RU"/>
              </w:rPr>
              <w:t xml:space="preserve">сазнањима стеченим на основу </w:t>
            </w:r>
            <w:r w:rsidRPr="005B478E">
              <w:rPr>
                <w:lang w:val="ru-RU"/>
              </w:rPr>
              <w:t>претходн</w:t>
            </w:r>
            <w:r>
              <w:rPr>
                <w:lang w:val="ru-RU"/>
              </w:rPr>
              <w:t>их</w:t>
            </w:r>
            <w:r w:rsidR="003D777A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темељних истраживања и несумњиво</w:t>
            </w:r>
            <w:r w:rsidR="003D777A">
              <w:rPr>
                <w:lang w:val="ru-RU"/>
              </w:rPr>
              <w:t xml:space="preserve"> </w:t>
            </w:r>
            <w:r w:rsidRPr="005B478E">
              <w:rPr>
                <w:lang w:val="ru-RU"/>
              </w:rPr>
              <w:t>до</w:t>
            </w:r>
            <w:r>
              <w:rPr>
                <w:lang w:val="ru-RU"/>
              </w:rPr>
              <w:t>бром</w:t>
            </w:r>
            <w:r w:rsidRPr="005B478E">
              <w:rPr>
                <w:lang w:val="ru-RU"/>
              </w:rPr>
              <w:t xml:space="preserve"> познавањ</w:t>
            </w:r>
            <w:r>
              <w:rPr>
                <w:lang w:val="ru-RU"/>
              </w:rPr>
              <w:t>у</w:t>
            </w:r>
            <w:r w:rsidRPr="005B478E">
              <w:rPr>
                <w:lang w:val="ru-RU"/>
              </w:rPr>
              <w:t xml:space="preserve"> извора и литературе. Како </w:t>
            </w:r>
            <w:r>
              <w:t>у нашој земљи, а ни шире,</w:t>
            </w:r>
            <w:r w:rsidR="003D777A">
              <w:t xml:space="preserve"> </w:t>
            </w:r>
            <w:r w:rsidRPr="005B478E">
              <w:t xml:space="preserve">не постоји научна студија која </w:t>
            </w:r>
            <w:r>
              <w:t xml:space="preserve">би </w:t>
            </w:r>
            <w:r w:rsidRPr="005B478E">
              <w:t>систематизовала Дидроова етичка начела изведена из разматрања питања морала у његовом целокупном књижевном делу,</w:t>
            </w:r>
            <w:r w:rsidR="003D777A">
              <w:t xml:space="preserve"> </w:t>
            </w:r>
            <w:r w:rsidRPr="005B478E">
              <w:t xml:space="preserve">ова предложена тема докторске дисертације може да представља оригиналан научни допринос </w:t>
            </w:r>
            <w:r>
              <w:t xml:space="preserve">у растветљавању значајних, а још увек недовољно обрађених тема везаних за стваралаштво просветитеља </w:t>
            </w:r>
            <w:r w:rsidRPr="005B478E">
              <w:t>Дидроа</w:t>
            </w:r>
            <w:r>
              <w:t>, а уједно и допринос развоју студија романистике на нашим просторима, па и шире</w:t>
            </w:r>
            <w:r w:rsidR="00F17885">
              <w:t xml:space="preserve">. </w:t>
            </w:r>
          </w:p>
          <w:p w14:paraId="7BDE3E5D" w14:textId="77777777" w:rsidR="00F17885" w:rsidRPr="00F17885" w:rsidRDefault="00F17885" w:rsidP="00F03550"/>
        </w:tc>
      </w:tr>
      <w:tr w:rsidR="00EA0590" w:rsidRPr="0082465B" w14:paraId="2221C0B5" w14:textId="77777777" w:rsidTr="003C72C8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B04F94C" w14:textId="77777777" w:rsidR="00EA0590" w:rsidRPr="0082465B" w:rsidRDefault="00EA0590" w:rsidP="003C72C8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5.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58DC9A8C" w14:textId="77777777" w:rsidR="00EA0590" w:rsidRPr="0082465B" w:rsidRDefault="00EA0590" w:rsidP="003C72C8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EA0590" w:rsidRPr="0082465B" w14:paraId="22A66CFC" w14:textId="77777777" w:rsidTr="003C72C8">
        <w:trPr>
          <w:trHeight w:val="567"/>
          <w:jc w:val="center"/>
        </w:trPr>
        <w:tc>
          <w:tcPr>
            <w:tcW w:w="10786" w:type="dxa"/>
            <w:gridSpan w:val="10"/>
          </w:tcPr>
          <w:p w14:paraId="03EA9D0D" w14:textId="77777777" w:rsidR="00380A52" w:rsidRDefault="00380A52" w:rsidP="00F455EA">
            <w:pPr>
              <w:rPr>
                <w:highlight w:val="yellow"/>
              </w:rPr>
            </w:pPr>
          </w:p>
          <w:p w14:paraId="5A979F2A" w14:textId="77777777" w:rsidR="00F118A0" w:rsidRPr="005B478E" w:rsidRDefault="00F118A0" w:rsidP="00F118A0">
            <w:pPr>
              <w:spacing w:line="256" w:lineRule="auto"/>
            </w:pPr>
            <w:r w:rsidRPr="005B478E">
              <w:t>Филологија, као наука која изучава мисао једног ствараоца у одређеној епохи и реконструише дух једног времена, нужно обједињује два плана – спољашњи и унутрашњи приступ изучавању, контекст и текст. У овом случају се Дидроова етичка мисао, систематизована из његовог књижевног дела, сагледава у контексту етике и политике епохе просветитељства, што подразумева бројне критичко-аналитичке паралеле. Кандидат је у својој пријави изложио методологију свог проучавања</w:t>
            </w:r>
            <w:r>
              <w:t>,</w:t>
            </w:r>
            <w:r w:rsidRPr="005B478E">
              <w:t xml:space="preserve"> коју овде сводимо на три </w:t>
            </w:r>
            <w:r>
              <w:t xml:space="preserve">кључне </w:t>
            </w:r>
            <w:r w:rsidRPr="005B478E">
              <w:t xml:space="preserve">ставке: </w:t>
            </w:r>
          </w:p>
          <w:p w14:paraId="05C1E4E1" w14:textId="77777777" w:rsidR="00F118A0" w:rsidRPr="005B478E" w:rsidRDefault="00F118A0" w:rsidP="00F118A0">
            <w:pPr>
              <w:spacing w:line="256" w:lineRule="auto"/>
            </w:pPr>
            <w:r w:rsidRPr="005B478E">
              <w:t>1. спољашњи и унутрашњи приступ Дидроовом књижевном делу: а) спољашњи ‒ кроз проучавање историјске позадине, духа времена, социјалне и интелектуалне средине епохе просветитељства, а што је утицало на његово стваралаштво; б) унутрашњи ‒ кроз критичку анализу књижевног дела и осталих списа, а која настоји да пружи целовит поглед на Дидроову етичку мисао;</w:t>
            </w:r>
          </w:p>
          <w:p w14:paraId="7A763E50" w14:textId="77777777" w:rsidR="00F118A0" w:rsidRPr="005B478E" w:rsidRDefault="00F118A0" w:rsidP="00F118A0">
            <w:pPr>
              <w:spacing w:line="256" w:lineRule="auto"/>
            </w:pPr>
            <w:r w:rsidRPr="005B478E">
              <w:t xml:space="preserve">2. историјски приступ ‒ одређење појма етике у дијахронији, од антике до 18. века, као и етике епохе просветитељства; </w:t>
            </w:r>
          </w:p>
          <w:p w14:paraId="25417435" w14:textId="77777777" w:rsidR="00EA0590" w:rsidRPr="00F118A0" w:rsidRDefault="00F118A0" w:rsidP="00F118A0">
            <w:r w:rsidRPr="005B478E">
              <w:t xml:space="preserve">3. компаративна метода ‒ кроз аналитичко поређење резултата из релевантних дидролошких истраживања на страним језицима (првенствено </w:t>
            </w:r>
            <w:r>
              <w:t xml:space="preserve">објављених на </w:t>
            </w:r>
            <w:r w:rsidRPr="005B478E">
              <w:t>француском и енглеском), као и на српском језику</w:t>
            </w:r>
            <w:r>
              <w:t>.</w:t>
            </w:r>
          </w:p>
          <w:p w14:paraId="5B13D385" w14:textId="77777777" w:rsidR="00F17885" w:rsidRPr="00F17885" w:rsidRDefault="00F17885" w:rsidP="00F03550"/>
        </w:tc>
      </w:tr>
      <w:tr w:rsidR="00EA0590" w:rsidRPr="0082465B" w14:paraId="59B5C0A7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5AFC6F4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3"/>
            <w:vAlign w:val="center"/>
          </w:tcPr>
          <w:p w14:paraId="23705C74" w14:textId="77777777" w:rsidR="00EA0590" w:rsidRPr="0061799A" w:rsidRDefault="00EA0590" w:rsidP="003C72C8">
            <w:pPr>
              <w:jc w:val="center"/>
              <w:rPr>
                <w:b/>
                <w:u w:val="single"/>
                <w:lang w:val="ru-RU"/>
              </w:rPr>
            </w:pPr>
            <w:r w:rsidRPr="0061799A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3941" w:type="dxa"/>
            <w:gridSpan w:val="4"/>
            <w:vAlign w:val="center"/>
          </w:tcPr>
          <w:p w14:paraId="28979181" w14:textId="77777777" w:rsidR="00EA0590" w:rsidRPr="0082465B" w:rsidRDefault="00EA0590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НЕ</w:t>
            </w:r>
          </w:p>
        </w:tc>
      </w:tr>
      <w:tr w:rsidR="00EA0590" w:rsidRPr="0082465B" w14:paraId="091E0CEC" w14:textId="77777777" w:rsidTr="003C72C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CACA8C0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76D29EAB" w14:textId="77777777" w:rsidR="00EA0590" w:rsidRPr="0082465B" w:rsidRDefault="0061799A" w:rsidP="0061799A">
            <w:pPr>
              <w:jc w:val="center"/>
              <w:rPr>
                <w:lang w:val="ru-RU"/>
              </w:rPr>
            </w:pPr>
            <w:r w:rsidRPr="006204C3">
              <w:rPr>
                <w:lang w:val="ru-RU"/>
              </w:rPr>
              <w:t>ЕТИЧКА РАЗМАТРАЊА У ДИДРООВОМ КЊИЖЕВНОМ ДЕЛУ</w:t>
            </w:r>
          </w:p>
        </w:tc>
      </w:tr>
      <w:tr w:rsidR="00EA0590" w:rsidRPr="0082465B" w14:paraId="6837114A" w14:textId="77777777" w:rsidTr="003C72C8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60E26484" w14:textId="77777777" w:rsidR="00EA0590" w:rsidRPr="0082465B" w:rsidRDefault="00EA0590" w:rsidP="003C72C8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798C66D9" w14:textId="77777777" w:rsidTr="003C72C8">
        <w:trPr>
          <w:trHeight w:val="340"/>
          <w:jc w:val="center"/>
        </w:trPr>
        <w:tc>
          <w:tcPr>
            <w:tcW w:w="10786" w:type="dxa"/>
            <w:gridSpan w:val="10"/>
            <w:tcBorders>
              <w:bottom w:val="single" w:sz="4" w:space="0" w:color="C0C0C0"/>
            </w:tcBorders>
            <w:vAlign w:val="center"/>
          </w:tcPr>
          <w:p w14:paraId="239F2EF5" w14:textId="77777777" w:rsidR="00EA0590" w:rsidRPr="0082465B" w:rsidRDefault="00EA0590" w:rsidP="003C72C8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 </w:t>
            </w:r>
          </w:p>
          <w:p w14:paraId="2CD93623" w14:textId="77777777" w:rsidR="000F77F5" w:rsidRPr="00AF1B07" w:rsidRDefault="00F118A0" w:rsidP="000F77F5">
            <w:r w:rsidRPr="005B478E">
              <w:t>У</w:t>
            </w:r>
            <w:r>
              <w:t xml:space="preserve">српској и страној </w:t>
            </w:r>
            <w:r w:rsidRPr="005B478E">
              <w:t>дидрологији</w:t>
            </w:r>
            <w:r>
              <w:t xml:space="preserve"> </w:t>
            </w:r>
            <w:r w:rsidRPr="005B478E">
              <w:t>н</w:t>
            </w:r>
            <w:r>
              <w:t>ема</w:t>
            </w:r>
            <w:r w:rsidR="003D777A">
              <w:t xml:space="preserve"> о</w:t>
            </w:r>
            <w:r>
              <w:t xml:space="preserve">бјављених </w:t>
            </w:r>
            <w:r w:rsidRPr="005B478E">
              <w:t>научн</w:t>
            </w:r>
            <w:r>
              <w:t>их</w:t>
            </w:r>
            <w:r w:rsidRPr="005B478E">
              <w:t xml:space="preserve"> студиј</w:t>
            </w:r>
            <w:r>
              <w:t>а</w:t>
            </w:r>
            <w:r w:rsidRPr="005B478E">
              <w:t xml:space="preserve"> кој</w:t>
            </w:r>
            <w:r>
              <w:t>е би</w:t>
            </w:r>
            <w:r w:rsidRPr="005B478E">
              <w:t xml:space="preserve"> систематизовал</w:t>
            </w:r>
            <w:r>
              <w:t>е</w:t>
            </w:r>
            <w:r w:rsidRPr="005B478E">
              <w:t xml:space="preserve"> Дидроова етичка начела изведена из разматрања питања морала у његовом књижевном делу, већ </w:t>
            </w:r>
            <w:r>
              <w:t>само научних студија</w:t>
            </w:r>
            <w:r w:rsidRPr="005B478E">
              <w:t xml:space="preserve"> о дидроовској етици које обрађују одређену проблематику кроз </w:t>
            </w:r>
            <w:r>
              <w:t xml:space="preserve">један издвојени </w:t>
            </w:r>
            <w:r w:rsidRPr="005B478E">
              <w:t xml:space="preserve">период или кроз један аспект његовог </w:t>
            </w:r>
            <w:r>
              <w:t xml:space="preserve">стваралачког </w:t>
            </w:r>
            <w:r w:rsidRPr="005B478E">
              <w:t>опуса</w:t>
            </w:r>
            <w:r>
              <w:t xml:space="preserve">, те Комисија сматра да </w:t>
            </w:r>
            <w:r w:rsidRPr="005B478E">
              <w:t>предложена тема докторске дисертације</w:t>
            </w:r>
            <w:r>
              <w:t xml:space="preserve"> кандидата МА Милана Н. Јањића, судећи према</w:t>
            </w:r>
            <w:r w:rsidRPr="005B478E">
              <w:t xml:space="preserve"> постављеним циљевима истраж</w:t>
            </w:r>
            <w:r>
              <w:t>ивања и најављеним резултатима, поседује снажан потенцијал з</w:t>
            </w:r>
            <w:r w:rsidRPr="005B478E">
              <w:t xml:space="preserve">а </w:t>
            </w:r>
            <w:r>
              <w:t>остваривање</w:t>
            </w:r>
            <w:r w:rsidRPr="005B478E">
              <w:t xml:space="preserve"> оригиналн</w:t>
            </w:r>
            <w:r>
              <w:t xml:space="preserve">ог </w:t>
            </w:r>
            <w:r w:rsidRPr="005B478E">
              <w:t>научн</w:t>
            </w:r>
            <w:r>
              <w:t>ог</w:t>
            </w:r>
            <w:r w:rsidRPr="005B478E">
              <w:t xml:space="preserve"> допринос</w:t>
            </w:r>
            <w:r>
              <w:t xml:space="preserve">а у </w:t>
            </w:r>
            <w:r w:rsidRPr="005B478E">
              <w:t>изучавању француског просветитеља</w:t>
            </w:r>
            <w:r>
              <w:t xml:space="preserve"> Дидроа и </w:t>
            </w:r>
            <w:r w:rsidRPr="005B478E">
              <w:t xml:space="preserve">предлаже Наставно-научном већу Филозофског факултета Унивезитета у Нишу да усвоји позитивну оцену научне заснованости </w:t>
            </w:r>
            <w:r>
              <w:t xml:space="preserve">предложене </w:t>
            </w:r>
            <w:r w:rsidRPr="005B478E">
              <w:t xml:space="preserve">теме </w:t>
            </w:r>
            <w:r>
              <w:t>докторске дисертације</w:t>
            </w:r>
            <w:r w:rsidR="004102A2">
              <w:t>.</w:t>
            </w:r>
            <w:r w:rsidR="00AF1B07">
              <w:t xml:space="preserve"> </w:t>
            </w:r>
          </w:p>
          <w:p w14:paraId="23FE9AFB" w14:textId="77777777" w:rsidR="00EA0590" w:rsidRPr="00772B31" w:rsidRDefault="00EA0590" w:rsidP="00F455EA">
            <w:pPr>
              <w:rPr>
                <w:sz w:val="18"/>
                <w:szCs w:val="18"/>
              </w:rPr>
            </w:pPr>
          </w:p>
        </w:tc>
      </w:tr>
      <w:tr w:rsidR="00EA0590" w:rsidRPr="0082465B" w14:paraId="6A1C71D4" w14:textId="77777777" w:rsidTr="003C72C8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1A52809B" w14:textId="77777777" w:rsidR="00EA0590" w:rsidRPr="0082465B" w:rsidRDefault="00EA0590" w:rsidP="003C72C8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lastRenderedPageBreak/>
              <w:t>ПОДАЦИ О КОМИСИЈИ</w:t>
            </w:r>
          </w:p>
        </w:tc>
      </w:tr>
      <w:tr w:rsidR="00EA0590" w:rsidRPr="0082465B" w14:paraId="3944537A" w14:textId="77777777" w:rsidTr="003C72C8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6047C2B5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3C057AC9" w14:textId="77777777" w:rsidR="00EA0590" w:rsidRPr="00017893" w:rsidRDefault="00D4578D" w:rsidP="003A189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8/18-01-010/20-013</w:t>
            </w:r>
          </w:p>
        </w:tc>
      </w:tr>
      <w:tr w:rsidR="00EA0590" w:rsidRPr="0082465B" w14:paraId="4D9A9937" w14:textId="77777777" w:rsidTr="003C72C8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0D433CBA" w14:textId="77777777" w:rsidR="00EA0590" w:rsidRPr="0082465B" w:rsidRDefault="00EA0590" w:rsidP="003C72C8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677D5108" w14:textId="77777777" w:rsidR="00EA0590" w:rsidRPr="0082465B" w:rsidRDefault="00D4578D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4</w:t>
            </w:r>
            <w:r w:rsidR="00FB01DA">
              <w:rPr>
                <w:b/>
                <w:sz w:val="18"/>
                <w:szCs w:val="18"/>
                <w:lang w:val="ru-RU"/>
              </w:rPr>
              <w:t xml:space="preserve">. </w:t>
            </w:r>
            <w:r w:rsidR="002620DF">
              <w:rPr>
                <w:b/>
                <w:sz w:val="18"/>
                <w:szCs w:val="18"/>
                <w:lang w:val="ru-RU"/>
              </w:rPr>
              <w:t>1</w:t>
            </w:r>
            <w:r>
              <w:rPr>
                <w:b/>
                <w:sz w:val="18"/>
                <w:szCs w:val="18"/>
                <w:lang w:val="ru-RU"/>
              </w:rPr>
              <w:t>2</w:t>
            </w:r>
            <w:r w:rsidR="00FB01DA">
              <w:rPr>
                <w:b/>
                <w:sz w:val="18"/>
                <w:szCs w:val="18"/>
                <w:lang w:val="ru-RU"/>
              </w:rPr>
              <w:t>. 2020. године</w:t>
            </w:r>
          </w:p>
        </w:tc>
      </w:tr>
      <w:tr w:rsidR="00EA0590" w:rsidRPr="0082465B" w14:paraId="01AEE39D" w14:textId="77777777" w:rsidTr="003C72C8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3EF4AFBE" w14:textId="77777777" w:rsidR="00EA0590" w:rsidRPr="0082465B" w:rsidRDefault="00EA0590" w:rsidP="003C72C8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5"/>
            <w:shd w:val="clear" w:color="auto" w:fill="auto"/>
            <w:vAlign w:val="center"/>
          </w:tcPr>
          <w:p w14:paraId="4C06E0EB" w14:textId="77777777" w:rsidR="00EA0590" w:rsidRPr="0082465B" w:rsidRDefault="00EA0590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14:paraId="3EEF697E" w14:textId="77777777" w:rsidR="00EA0590" w:rsidRPr="0082465B" w:rsidRDefault="00EA0590" w:rsidP="003C72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6F56A331" w14:textId="77777777" w:rsidTr="003C72C8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2D5EB389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251A5CC6" w14:textId="77777777" w:rsidR="00EA0590" w:rsidRPr="007F37FA" w:rsidRDefault="0066129E" w:rsidP="003C72C8">
            <w:r>
              <w:t xml:space="preserve">Др </w:t>
            </w:r>
            <w:r w:rsidR="00D4578D">
              <w:t>Диана Поповић, ванредни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F65E5C7" w14:textId="77777777" w:rsidR="00EA0590" w:rsidRPr="0082465B" w:rsidRDefault="00EA0590" w:rsidP="003C72C8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032CF8EF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5139BE22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9BF7BBF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71FB4359" w14:textId="77777777" w:rsidR="00EA0590" w:rsidRPr="0082465B" w:rsidRDefault="00D4578D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Романистика</w:t>
            </w:r>
            <w:r w:rsidR="006834EF">
              <w:rPr>
                <w:lang w:val="ru-RU"/>
              </w:rPr>
              <w:t xml:space="preserve"> 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4F539BED" w14:textId="77777777" w:rsidR="00EA0590" w:rsidRPr="0082465B" w:rsidRDefault="0091401E" w:rsidP="003C72C8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Ново</w:t>
            </w:r>
            <w:r w:rsidR="00D4578D">
              <w:rPr>
                <w:lang w:val="ru-RU"/>
              </w:rPr>
              <w:t>м Саду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5591B0D5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7C76F3B6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2F4007A1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467166D5" w14:textId="77777777" w:rsidR="00EA0590" w:rsidRPr="0082465B" w:rsidRDefault="00EA0590" w:rsidP="003C72C8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0782CDD4" w14:textId="77777777" w:rsidR="00EA0590" w:rsidRPr="0082465B" w:rsidRDefault="00EA0590" w:rsidP="003C72C8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401EE654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3CB7906D" w14:textId="77777777" w:rsidTr="003C72C8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7A708D17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4AE1B4D9" w14:textId="77777777" w:rsidR="00EA0590" w:rsidRPr="0082465B" w:rsidRDefault="00471A5C" w:rsidP="003C72C8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D4578D">
              <w:rPr>
                <w:lang w:val="ru-RU"/>
              </w:rPr>
              <w:t>Нермин Вучељ</w:t>
            </w:r>
            <w:r w:rsidR="00017893">
              <w:rPr>
                <w:lang w:val="ru-RU"/>
              </w:rPr>
              <w:t xml:space="preserve">, </w:t>
            </w:r>
            <w:r w:rsidR="00D4578D">
              <w:rPr>
                <w:lang w:val="ru-RU"/>
              </w:rPr>
              <w:t xml:space="preserve">ванредни професор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FE3CEA9" w14:textId="77777777" w:rsidR="00EA0590" w:rsidRPr="0082465B" w:rsidRDefault="00EA0590" w:rsidP="003C72C8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717BFD76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03220475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92C897A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CA2EC07" w14:textId="77777777" w:rsidR="00EA0590" w:rsidRPr="0082465B" w:rsidRDefault="00D4578D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Француска књижевност и култура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4145B929" w14:textId="77777777" w:rsidR="00EA0590" w:rsidRPr="0082465B" w:rsidRDefault="00471A5C" w:rsidP="003C72C8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2ADD3409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70EB9265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4B119F0C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7E0F5F15" w14:textId="77777777" w:rsidR="00EA0590" w:rsidRPr="0082465B" w:rsidRDefault="00EA0590" w:rsidP="003C72C8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2EBFA3AA" w14:textId="77777777" w:rsidR="00EA0590" w:rsidRPr="0082465B" w:rsidRDefault="00EA0590" w:rsidP="003C72C8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08F66E21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1A7EF6B3" w14:textId="77777777" w:rsidTr="003C72C8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185C258E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22196B9D" w14:textId="77777777" w:rsidR="00EA0590" w:rsidRPr="0082465B" w:rsidRDefault="00471A5C" w:rsidP="003C72C8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D4578D">
              <w:rPr>
                <w:lang w:val="ru-RU"/>
              </w:rPr>
              <w:t>Никола Бјелић</w:t>
            </w:r>
            <w:r w:rsidR="005D7894">
              <w:rPr>
                <w:lang w:val="ru-RU"/>
              </w:rPr>
              <w:t xml:space="preserve">, </w:t>
            </w:r>
            <w:r w:rsidR="002620DF">
              <w:rPr>
                <w:lang w:val="ru-RU"/>
              </w:rPr>
              <w:t>доцент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423443" w14:textId="77777777" w:rsidR="00EA0590" w:rsidRPr="0082465B" w:rsidRDefault="00EA0590" w:rsidP="003C72C8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3ADBBA18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4297D7B3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13CAEB8D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ABB2E60" w14:textId="77777777" w:rsidR="00EA0590" w:rsidRPr="0082465B" w:rsidRDefault="00D4578D" w:rsidP="005D789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Француска књижевност и култура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29EF14E2" w14:textId="77777777" w:rsidR="00EA0590" w:rsidRPr="0082465B" w:rsidRDefault="00D4578D" w:rsidP="0066129E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5400ED2E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EA0590" w:rsidRPr="0082465B" w14:paraId="65DC945A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63ACDA3" w14:textId="77777777" w:rsidR="00EA0590" w:rsidRPr="0082465B" w:rsidRDefault="00EA0590" w:rsidP="003C72C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28EFB75D" w14:textId="77777777" w:rsidR="00EA0590" w:rsidRPr="0082465B" w:rsidRDefault="00EA0590" w:rsidP="003C72C8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0F5A39C3" w14:textId="77777777" w:rsidR="00EA0590" w:rsidRPr="0082465B" w:rsidRDefault="00EA0590" w:rsidP="003C72C8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1366B28D" w14:textId="77777777" w:rsidR="00EA0590" w:rsidRPr="0082465B" w:rsidRDefault="00EA0590" w:rsidP="003C72C8">
            <w:pPr>
              <w:rPr>
                <w:lang w:val="ru-RU"/>
              </w:rPr>
            </w:pPr>
          </w:p>
        </w:tc>
      </w:tr>
      <w:tr w:rsidR="00701101" w:rsidRPr="0082465B" w14:paraId="63A43CAE" w14:textId="77777777" w:rsidTr="003C72C8">
        <w:trPr>
          <w:trHeight w:val="340"/>
          <w:jc w:val="center"/>
        </w:trPr>
        <w:tc>
          <w:tcPr>
            <w:tcW w:w="10786" w:type="dxa"/>
            <w:gridSpan w:val="10"/>
          </w:tcPr>
          <w:p w14:paraId="5A342553" w14:textId="77777777" w:rsidR="00701101" w:rsidRPr="00B039C3" w:rsidRDefault="00701101" w:rsidP="00017893">
            <w:pPr>
              <w:jc w:val="left"/>
              <w:rPr>
                <w:sz w:val="18"/>
                <w:szCs w:val="18"/>
                <w:lang w:val="ru-RU"/>
              </w:rPr>
            </w:pPr>
          </w:p>
          <w:p w14:paraId="1D88B8D2" w14:textId="77777777" w:rsidR="00701101" w:rsidRPr="0082465B" w:rsidRDefault="00701101" w:rsidP="00701101">
            <w:pPr>
              <w:rPr>
                <w:b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  <w:p w14:paraId="212717B3" w14:textId="77777777" w:rsidR="004102A2" w:rsidRDefault="00701101" w:rsidP="004102A2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82465B">
              <w:rPr>
                <w:rFonts w:eastAsia="TimesNewRomanPS-BoldMT"/>
                <w:bCs/>
              </w:rPr>
              <w:t xml:space="preserve">  </w:t>
            </w: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73C4E579" w14:textId="77777777" w:rsidR="00871F90" w:rsidRPr="00B45B62" w:rsidRDefault="004102A2" w:rsidP="004102A2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i/>
                <w:u w:val="single"/>
              </w:rPr>
            </w:pPr>
            <w:r>
              <w:rPr>
                <w:rFonts w:eastAsia="TimesNewRomanPS-BoldMT"/>
                <w:bCs/>
                <w:lang w:val="sr-Cyrl-CS"/>
              </w:rPr>
              <w:t xml:space="preserve">  </w:t>
            </w:r>
            <w:r w:rsidRPr="004102A2">
              <w:rPr>
                <w:b/>
                <w:i/>
                <w:u w:val="single"/>
              </w:rPr>
              <w:t>11. јануар 2021, Ни</w:t>
            </w:r>
            <w:r w:rsidR="00B45B62">
              <w:rPr>
                <w:b/>
                <w:i/>
                <w:u w:val="single"/>
              </w:rPr>
              <w:t>ш – Нови Сад</w:t>
            </w:r>
          </w:p>
        </w:tc>
      </w:tr>
    </w:tbl>
    <w:p w14:paraId="2EB8C471" w14:textId="77777777" w:rsidR="00C351F5" w:rsidRPr="00871F90" w:rsidRDefault="00C351F5"/>
    <w:sectPr w:rsidR="00C351F5" w:rsidRPr="00871F90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BD1C8E"/>
    <w:multiLevelType w:val="hybridMultilevel"/>
    <w:tmpl w:val="F59A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6F76"/>
    <w:rsid w:val="00007EA6"/>
    <w:rsid w:val="0001579C"/>
    <w:rsid w:val="00017893"/>
    <w:rsid w:val="0002441D"/>
    <w:rsid w:val="00027524"/>
    <w:rsid w:val="00037810"/>
    <w:rsid w:val="00040988"/>
    <w:rsid w:val="00041E41"/>
    <w:rsid w:val="000524B8"/>
    <w:rsid w:val="00053A54"/>
    <w:rsid w:val="00054D22"/>
    <w:rsid w:val="00056C23"/>
    <w:rsid w:val="00057BEC"/>
    <w:rsid w:val="0006668B"/>
    <w:rsid w:val="00072561"/>
    <w:rsid w:val="0007450C"/>
    <w:rsid w:val="00077388"/>
    <w:rsid w:val="00093EDE"/>
    <w:rsid w:val="000A282B"/>
    <w:rsid w:val="000A37DD"/>
    <w:rsid w:val="000B1CEC"/>
    <w:rsid w:val="000B5DCD"/>
    <w:rsid w:val="000C3037"/>
    <w:rsid w:val="000C3E49"/>
    <w:rsid w:val="000C7175"/>
    <w:rsid w:val="000E1D84"/>
    <w:rsid w:val="000E701E"/>
    <w:rsid w:val="000F77F5"/>
    <w:rsid w:val="00102660"/>
    <w:rsid w:val="00104D3C"/>
    <w:rsid w:val="00105886"/>
    <w:rsid w:val="00117D97"/>
    <w:rsid w:val="00135D3C"/>
    <w:rsid w:val="00155237"/>
    <w:rsid w:val="0016069F"/>
    <w:rsid w:val="00163C81"/>
    <w:rsid w:val="00166597"/>
    <w:rsid w:val="001672AC"/>
    <w:rsid w:val="001702AE"/>
    <w:rsid w:val="00173E8E"/>
    <w:rsid w:val="00175595"/>
    <w:rsid w:val="00176D78"/>
    <w:rsid w:val="00180F1E"/>
    <w:rsid w:val="00181E00"/>
    <w:rsid w:val="00184EBC"/>
    <w:rsid w:val="00193CD5"/>
    <w:rsid w:val="001B68E4"/>
    <w:rsid w:val="001C0E9C"/>
    <w:rsid w:val="001E4F8A"/>
    <w:rsid w:val="001E736F"/>
    <w:rsid w:val="002162C9"/>
    <w:rsid w:val="00236724"/>
    <w:rsid w:val="00240606"/>
    <w:rsid w:val="00241F5A"/>
    <w:rsid w:val="00247101"/>
    <w:rsid w:val="00250258"/>
    <w:rsid w:val="00251629"/>
    <w:rsid w:val="0025460E"/>
    <w:rsid w:val="002620DF"/>
    <w:rsid w:val="00262769"/>
    <w:rsid w:val="002675B3"/>
    <w:rsid w:val="00267F77"/>
    <w:rsid w:val="0027589E"/>
    <w:rsid w:val="002804BD"/>
    <w:rsid w:val="00286E2B"/>
    <w:rsid w:val="002876EC"/>
    <w:rsid w:val="002911B6"/>
    <w:rsid w:val="00293EC0"/>
    <w:rsid w:val="00294B84"/>
    <w:rsid w:val="002A1145"/>
    <w:rsid w:val="002A2EF8"/>
    <w:rsid w:val="002B0550"/>
    <w:rsid w:val="002B5E87"/>
    <w:rsid w:val="002C016F"/>
    <w:rsid w:val="002C0C2F"/>
    <w:rsid w:val="002C3691"/>
    <w:rsid w:val="002C7151"/>
    <w:rsid w:val="002D170C"/>
    <w:rsid w:val="002E33B2"/>
    <w:rsid w:val="00307A8A"/>
    <w:rsid w:val="0031017D"/>
    <w:rsid w:val="003114FA"/>
    <w:rsid w:val="003244ED"/>
    <w:rsid w:val="00327C6A"/>
    <w:rsid w:val="00335854"/>
    <w:rsid w:val="00337B29"/>
    <w:rsid w:val="00337DE0"/>
    <w:rsid w:val="00341CFA"/>
    <w:rsid w:val="00344242"/>
    <w:rsid w:val="0034641F"/>
    <w:rsid w:val="003532AD"/>
    <w:rsid w:val="00355315"/>
    <w:rsid w:val="00360FD8"/>
    <w:rsid w:val="00367E03"/>
    <w:rsid w:val="003732A3"/>
    <w:rsid w:val="003741EB"/>
    <w:rsid w:val="00376DA4"/>
    <w:rsid w:val="00380A52"/>
    <w:rsid w:val="00384C15"/>
    <w:rsid w:val="003A103B"/>
    <w:rsid w:val="003A1891"/>
    <w:rsid w:val="003A30CE"/>
    <w:rsid w:val="003B56A2"/>
    <w:rsid w:val="003C2F76"/>
    <w:rsid w:val="003C49C3"/>
    <w:rsid w:val="003C4BD5"/>
    <w:rsid w:val="003C72C8"/>
    <w:rsid w:val="003D23C5"/>
    <w:rsid w:val="003D28BB"/>
    <w:rsid w:val="003D777A"/>
    <w:rsid w:val="003E22D0"/>
    <w:rsid w:val="003E4B81"/>
    <w:rsid w:val="003F7913"/>
    <w:rsid w:val="004038AE"/>
    <w:rsid w:val="00405FB4"/>
    <w:rsid w:val="004102A2"/>
    <w:rsid w:val="0042344C"/>
    <w:rsid w:val="0043650F"/>
    <w:rsid w:val="004372C2"/>
    <w:rsid w:val="004379C2"/>
    <w:rsid w:val="00441191"/>
    <w:rsid w:val="004415B2"/>
    <w:rsid w:val="00454603"/>
    <w:rsid w:val="00461A89"/>
    <w:rsid w:val="00462192"/>
    <w:rsid w:val="004672F7"/>
    <w:rsid w:val="00471A5C"/>
    <w:rsid w:val="00481A02"/>
    <w:rsid w:val="004946B4"/>
    <w:rsid w:val="0049543A"/>
    <w:rsid w:val="00497D23"/>
    <w:rsid w:val="004A7553"/>
    <w:rsid w:val="004B0226"/>
    <w:rsid w:val="004B0A64"/>
    <w:rsid w:val="004C6849"/>
    <w:rsid w:val="004C79D3"/>
    <w:rsid w:val="004D4DDB"/>
    <w:rsid w:val="004E11C2"/>
    <w:rsid w:val="00510ABD"/>
    <w:rsid w:val="00517A85"/>
    <w:rsid w:val="005205F0"/>
    <w:rsid w:val="00520F0D"/>
    <w:rsid w:val="005316BB"/>
    <w:rsid w:val="005327FA"/>
    <w:rsid w:val="00535CDD"/>
    <w:rsid w:val="005369BC"/>
    <w:rsid w:val="005445B4"/>
    <w:rsid w:val="0055613D"/>
    <w:rsid w:val="005570F7"/>
    <w:rsid w:val="00561771"/>
    <w:rsid w:val="00561E3B"/>
    <w:rsid w:val="00562A24"/>
    <w:rsid w:val="005651AB"/>
    <w:rsid w:val="0056546E"/>
    <w:rsid w:val="00577B22"/>
    <w:rsid w:val="00582DEF"/>
    <w:rsid w:val="0058551A"/>
    <w:rsid w:val="0058745C"/>
    <w:rsid w:val="0059595B"/>
    <w:rsid w:val="00597CCE"/>
    <w:rsid w:val="005B676F"/>
    <w:rsid w:val="005C2657"/>
    <w:rsid w:val="005C6735"/>
    <w:rsid w:val="005D0208"/>
    <w:rsid w:val="005D60F7"/>
    <w:rsid w:val="005D7894"/>
    <w:rsid w:val="005D7D0D"/>
    <w:rsid w:val="005E0159"/>
    <w:rsid w:val="005E3B51"/>
    <w:rsid w:val="005E789C"/>
    <w:rsid w:val="005F577B"/>
    <w:rsid w:val="00601677"/>
    <w:rsid w:val="006030FA"/>
    <w:rsid w:val="0061799A"/>
    <w:rsid w:val="006204C3"/>
    <w:rsid w:val="00623AE9"/>
    <w:rsid w:val="00633CF9"/>
    <w:rsid w:val="00635370"/>
    <w:rsid w:val="00641A05"/>
    <w:rsid w:val="00647C9F"/>
    <w:rsid w:val="0066129E"/>
    <w:rsid w:val="00664B81"/>
    <w:rsid w:val="00670190"/>
    <w:rsid w:val="006834EF"/>
    <w:rsid w:val="00695CC6"/>
    <w:rsid w:val="00695E01"/>
    <w:rsid w:val="006A2630"/>
    <w:rsid w:val="006A4C9B"/>
    <w:rsid w:val="006B2789"/>
    <w:rsid w:val="006B297E"/>
    <w:rsid w:val="006D618A"/>
    <w:rsid w:val="006E1F66"/>
    <w:rsid w:val="006F00F4"/>
    <w:rsid w:val="006F493F"/>
    <w:rsid w:val="00701101"/>
    <w:rsid w:val="00716E41"/>
    <w:rsid w:val="007240FD"/>
    <w:rsid w:val="007269DF"/>
    <w:rsid w:val="007343B8"/>
    <w:rsid w:val="007345B1"/>
    <w:rsid w:val="007557C4"/>
    <w:rsid w:val="007610E7"/>
    <w:rsid w:val="0076345F"/>
    <w:rsid w:val="00771059"/>
    <w:rsid w:val="00772B31"/>
    <w:rsid w:val="00772E4C"/>
    <w:rsid w:val="00776150"/>
    <w:rsid w:val="00782EC3"/>
    <w:rsid w:val="00783D4E"/>
    <w:rsid w:val="007B2CC9"/>
    <w:rsid w:val="007B4DF7"/>
    <w:rsid w:val="007C6F2F"/>
    <w:rsid w:val="007D0402"/>
    <w:rsid w:val="007D08FF"/>
    <w:rsid w:val="007D72D2"/>
    <w:rsid w:val="007E0869"/>
    <w:rsid w:val="007E14DF"/>
    <w:rsid w:val="007E1D41"/>
    <w:rsid w:val="007E6ACF"/>
    <w:rsid w:val="007F3240"/>
    <w:rsid w:val="007F37FA"/>
    <w:rsid w:val="007F4AFD"/>
    <w:rsid w:val="00801D7C"/>
    <w:rsid w:val="0080352A"/>
    <w:rsid w:val="00807747"/>
    <w:rsid w:val="00821AB0"/>
    <w:rsid w:val="00822ADF"/>
    <w:rsid w:val="00827382"/>
    <w:rsid w:val="00837D78"/>
    <w:rsid w:val="00844B76"/>
    <w:rsid w:val="0084672D"/>
    <w:rsid w:val="0085225A"/>
    <w:rsid w:val="00853A7B"/>
    <w:rsid w:val="00862F4B"/>
    <w:rsid w:val="00871142"/>
    <w:rsid w:val="00871F90"/>
    <w:rsid w:val="008722EB"/>
    <w:rsid w:val="00872A56"/>
    <w:rsid w:val="0088120A"/>
    <w:rsid w:val="00885194"/>
    <w:rsid w:val="008B1BBC"/>
    <w:rsid w:val="008B20E5"/>
    <w:rsid w:val="008B615D"/>
    <w:rsid w:val="008B774D"/>
    <w:rsid w:val="008B7C9C"/>
    <w:rsid w:val="008C361B"/>
    <w:rsid w:val="008C3F77"/>
    <w:rsid w:val="008D05A3"/>
    <w:rsid w:val="008D70B1"/>
    <w:rsid w:val="008E5DD6"/>
    <w:rsid w:val="008E7900"/>
    <w:rsid w:val="00900D14"/>
    <w:rsid w:val="00901B5E"/>
    <w:rsid w:val="00911CA9"/>
    <w:rsid w:val="00913D4F"/>
    <w:rsid w:val="0091401E"/>
    <w:rsid w:val="00916EE0"/>
    <w:rsid w:val="009224D3"/>
    <w:rsid w:val="009321BA"/>
    <w:rsid w:val="00935040"/>
    <w:rsid w:val="009355F0"/>
    <w:rsid w:val="00942F74"/>
    <w:rsid w:val="00957B37"/>
    <w:rsid w:val="00961D74"/>
    <w:rsid w:val="00970B9F"/>
    <w:rsid w:val="009755C6"/>
    <w:rsid w:val="009801D1"/>
    <w:rsid w:val="00980EF7"/>
    <w:rsid w:val="00983D94"/>
    <w:rsid w:val="009858D4"/>
    <w:rsid w:val="00985DEB"/>
    <w:rsid w:val="0099493B"/>
    <w:rsid w:val="009974A1"/>
    <w:rsid w:val="009A0F32"/>
    <w:rsid w:val="009B2014"/>
    <w:rsid w:val="009B35F7"/>
    <w:rsid w:val="009B7386"/>
    <w:rsid w:val="009C43A6"/>
    <w:rsid w:val="009C6970"/>
    <w:rsid w:val="009C6E39"/>
    <w:rsid w:val="009E1B95"/>
    <w:rsid w:val="00A1415F"/>
    <w:rsid w:val="00A17B63"/>
    <w:rsid w:val="00A30574"/>
    <w:rsid w:val="00A41424"/>
    <w:rsid w:val="00A4289E"/>
    <w:rsid w:val="00A43E8E"/>
    <w:rsid w:val="00A502F5"/>
    <w:rsid w:val="00A56758"/>
    <w:rsid w:val="00A650FF"/>
    <w:rsid w:val="00A8050D"/>
    <w:rsid w:val="00A86992"/>
    <w:rsid w:val="00A92972"/>
    <w:rsid w:val="00AA07F1"/>
    <w:rsid w:val="00AA23AE"/>
    <w:rsid w:val="00AA2459"/>
    <w:rsid w:val="00AA4C76"/>
    <w:rsid w:val="00AB090E"/>
    <w:rsid w:val="00AB1F60"/>
    <w:rsid w:val="00AC1F98"/>
    <w:rsid w:val="00AD4B60"/>
    <w:rsid w:val="00AD4EBE"/>
    <w:rsid w:val="00AE5776"/>
    <w:rsid w:val="00AF1B07"/>
    <w:rsid w:val="00AF32A5"/>
    <w:rsid w:val="00AF6E5F"/>
    <w:rsid w:val="00B039C3"/>
    <w:rsid w:val="00B069C9"/>
    <w:rsid w:val="00B06B59"/>
    <w:rsid w:val="00B06BD8"/>
    <w:rsid w:val="00B11F40"/>
    <w:rsid w:val="00B2084D"/>
    <w:rsid w:val="00B352A9"/>
    <w:rsid w:val="00B36020"/>
    <w:rsid w:val="00B361C1"/>
    <w:rsid w:val="00B43326"/>
    <w:rsid w:val="00B45B62"/>
    <w:rsid w:val="00B60404"/>
    <w:rsid w:val="00B72575"/>
    <w:rsid w:val="00B758A4"/>
    <w:rsid w:val="00B77A83"/>
    <w:rsid w:val="00B80AC1"/>
    <w:rsid w:val="00B84698"/>
    <w:rsid w:val="00B86B10"/>
    <w:rsid w:val="00BA040E"/>
    <w:rsid w:val="00BA070D"/>
    <w:rsid w:val="00BB2012"/>
    <w:rsid w:val="00BB2C15"/>
    <w:rsid w:val="00BB3A77"/>
    <w:rsid w:val="00BE3635"/>
    <w:rsid w:val="00BF1831"/>
    <w:rsid w:val="00C351F5"/>
    <w:rsid w:val="00C52758"/>
    <w:rsid w:val="00C626D8"/>
    <w:rsid w:val="00C6648E"/>
    <w:rsid w:val="00C7577A"/>
    <w:rsid w:val="00C7614E"/>
    <w:rsid w:val="00C806F2"/>
    <w:rsid w:val="00C808AD"/>
    <w:rsid w:val="00C93557"/>
    <w:rsid w:val="00C97047"/>
    <w:rsid w:val="00CA073B"/>
    <w:rsid w:val="00CA39C7"/>
    <w:rsid w:val="00CC17F9"/>
    <w:rsid w:val="00CC1D34"/>
    <w:rsid w:val="00CC6A21"/>
    <w:rsid w:val="00CD315D"/>
    <w:rsid w:val="00CE124E"/>
    <w:rsid w:val="00CE33CE"/>
    <w:rsid w:val="00CE5CB7"/>
    <w:rsid w:val="00CF7052"/>
    <w:rsid w:val="00D01860"/>
    <w:rsid w:val="00D262DE"/>
    <w:rsid w:val="00D30F5A"/>
    <w:rsid w:val="00D41C6D"/>
    <w:rsid w:val="00D43631"/>
    <w:rsid w:val="00D4578D"/>
    <w:rsid w:val="00D45F89"/>
    <w:rsid w:val="00D56F38"/>
    <w:rsid w:val="00D60EED"/>
    <w:rsid w:val="00D713A5"/>
    <w:rsid w:val="00D80EB1"/>
    <w:rsid w:val="00D83697"/>
    <w:rsid w:val="00D8451A"/>
    <w:rsid w:val="00D947A5"/>
    <w:rsid w:val="00DA6FC4"/>
    <w:rsid w:val="00DB40AA"/>
    <w:rsid w:val="00DB5BF4"/>
    <w:rsid w:val="00DC3893"/>
    <w:rsid w:val="00DC4456"/>
    <w:rsid w:val="00DC5837"/>
    <w:rsid w:val="00DC67A7"/>
    <w:rsid w:val="00DD3235"/>
    <w:rsid w:val="00DE4333"/>
    <w:rsid w:val="00DE4B5A"/>
    <w:rsid w:val="00DE6412"/>
    <w:rsid w:val="00DF6929"/>
    <w:rsid w:val="00DF7E60"/>
    <w:rsid w:val="00E066FD"/>
    <w:rsid w:val="00E171EE"/>
    <w:rsid w:val="00E27D77"/>
    <w:rsid w:val="00E30825"/>
    <w:rsid w:val="00E31630"/>
    <w:rsid w:val="00E32308"/>
    <w:rsid w:val="00E3252D"/>
    <w:rsid w:val="00E52383"/>
    <w:rsid w:val="00E76FF7"/>
    <w:rsid w:val="00E82DF9"/>
    <w:rsid w:val="00E843E1"/>
    <w:rsid w:val="00E94BC3"/>
    <w:rsid w:val="00E97321"/>
    <w:rsid w:val="00EA0590"/>
    <w:rsid w:val="00EA1B16"/>
    <w:rsid w:val="00EA2078"/>
    <w:rsid w:val="00EA4422"/>
    <w:rsid w:val="00EA57D6"/>
    <w:rsid w:val="00EA6BFF"/>
    <w:rsid w:val="00EA7C97"/>
    <w:rsid w:val="00EC0EAE"/>
    <w:rsid w:val="00ED4565"/>
    <w:rsid w:val="00ED4966"/>
    <w:rsid w:val="00EE2189"/>
    <w:rsid w:val="00EE6C29"/>
    <w:rsid w:val="00EF17E5"/>
    <w:rsid w:val="00EF3E8F"/>
    <w:rsid w:val="00EF4B28"/>
    <w:rsid w:val="00EF630C"/>
    <w:rsid w:val="00EF72D3"/>
    <w:rsid w:val="00F00BE7"/>
    <w:rsid w:val="00F03550"/>
    <w:rsid w:val="00F07683"/>
    <w:rsid w:val="00F118A0"/>
    <w:rsid w:val="00F1448F"/>
    <w:rsid w:val="00F1733C"/>
    <w:rsid w:val="00F17885"/>
    <w:rsid w:val="00F20A8B"/>
    <w:rsid w:val="00F24530"/>
    <w:rsid w:val="00F416D6"/>
    <w:rsid w:val="00F417EE"/>
    <w:rsid w:val="00F451B6"/>
    <w:rsid w:val="00F455EA"/>
    <w:rsid w:val="00F548F8"/>
    <w:rsid w:val="00F566DA"/>
    <w:rsid w:val="00F66828"/>
    <w:rsid w:val="00F82264"/>
    <w:rsid w:val="00F93B76"/>
    <w:rsid w:val="00F9690F"/>
    <w:rsid w:val="00FA29A3"/>
    <w:rsid w:val="00FA5188"/>
    <w:rsid w:val="00FA5EE6"/>
    <w:rsid w:val="00FB01DA"/>
    <w:rsid w:val="00FB35AD"/>
    <w:rsid w:val="00FC58F0"/>
    <w:rsid w:val="00FD3A51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E5077"/>
  <w15:docId w15:val="{67F6E993-3783-4299-A200-66DC0CD8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9C3"/>
    <w:pPr>
      <w:ind w:left="720"/>
      <w:contextualSpacing/>
    </w:pPr>
  </w:style>
  <w:style w:type="character" w:customStyle="1" w:styleId="itemextrafieldsvalue">
    <w:name w:val="itemextrafieldsvalue"/>
    <w:basedOn w:val="DefaultParagraphFont"/>
    <w:rsid w:val="00B039C3"/>
  </w:style>
  <w:style w:type="table" w:styleId="TableGrid">
    <w:name w:val="Table Grid"/>
    <w:basedOn w:val="TableNormal"/>
    <w:rsid w:val="00B03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D8CEF-71FA-4F5D-A0EA-16B92BCF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3962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Korisnik</cp:lastModifiedBy>
  <cp:revision>2</cp:revision>
  <cp:lastPrinted>2020-12-22T17:38:00Z</cp:lastPrinted>
  <dcterms:created xsi:type="dcterms:W3CDTF">2021-01-19T08:17:00Z</dcterms:created>
  <dcterms:modified xsi:type="dcterms:W3CDTF">2021-01-19T08:17:00Z</dcterms:modified>
</cp:coreProperties>
</file>